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3C" w:rsidRDefault="002B2E3C">
      <w:pPr>
        <w:pStyle w:val="ConsPlusNormal0"/>
        <w:jc w:val="both"/>
        <w:outlineLvl w:val="0"/>
      </w:pPr>
    </w:p>
    <w:p w:rsidR="002B2E3C" w:rsidRDefault="00123D84">
      <w:pPr>
        <w:pStyle w:val="ConsPlusTitle0"/>
        <w:jc w:val="center"/>
        <w:outlineLvl w:val="0"/>
      </w:pPr>
      <w:r>
        <w:t>МИНИСТЕРСТВО ТАРИФНОГО РЕГУЛИРОВАНИЯ И ЭНЕРГЕТИКИ</w:t>
      </w:r>
    </w:p>
    <w:p w:rsidR="002B2E3C" w:rsidRDefault="00123D84">
      <w:pPr>
        <w:pStyle w:val="ConsPlusTitle0"/>
        <w:jc w:val="center"/>
      </w:pPr>
      <w:r>
        <w:t>ЧЕЛЯБИНСКОЙ ОБЛАСТИ</w:t>
      </w:r>
    </w:p>
    <w:p w:rsidR="002B2E3C" w:rsidRDefault="002B2E3C">
      <w:pPr>
        <w:pStyle w:val="ConsPlusTitle0"/>
        <w:jc w:val="both"/>
      </w:pPr>
    </w:p>
    <w:p w:rsidR="002B2E3C" w:rsidRDefault="00123D84">
      <w:pPr>
        <w:pStyle w:val="ConsPlusTitle0"/>
        <w:jc w:val="center"/>
      </w:pPr>
      <w:r>
        <w:t>ПОСТАНОВЛЕНИЕ</w:t>
      </w:r>
    </w:p>
    <w:p w:rsidR="002B2E3C" w:rsidRDefault="00123D84">
      <w:pPr>
        <w:pStyle w:val="ConsPlusTitle0"/>
        <w:jc w:val="center"/>
      </w:pPr>
      <w:r>
        <w:t>от 28 ноября 2025 г. N 81/18</w:t>
      </w:r>
    </w:p>
    <w:p w:rsidR="002B2E3C" w:rsidRDefault="002B2E3C">
      <w:pPr>
        <w:pStyle w:val="ConsPlusTitle0"/>
        <w:jc w:val="both"/>
      </w:pPr>
    </w:p>
    <w:p w:rsidR="002B2E3C" w:rsidRDefault="00123D84">
      <w:pPr>
        <w:pStyle w:val="ConsPlusTitle0"/>
        <w:jc w:val="center"/>
      </w:pPr>
      <w:r>
        <w:t>Об установлении платы за технологическое присоединение</w:t>
      </w:r>
    </w:p>
    <w:p w:rsidR="002B2E3C" w:rsidRDefault="00123D84">
      <w:pPr>
        <w:pStyle w:val="ConsPlusTitle0"/>
        <w:jc w:val="center"/>
      </w:pPr>
      <w:r>
        <w:t>к электрическим сетям территориальных сетевых организаций</w:t>
      </w:r>
    </w:p>
    <w:p w:rsidR="002B2E3C" w:rsidRDefault="00123D84">
      <w:pPr>
        <w:pStyle w:val="ConsPlusTitle0"/>
        <w:jc w:val="center"/>
      </w:pPr>
      <w:r>
        <w:t>Челябинской области на 2026 год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6.03.2003 N 35-ФЗ (ред. от 23.03.2026) &quot;Об электроэнергетике&quot; {КонсультантПлюс}">
        <w:r>
          <w:rPr>
            <w:color w:val="0000FF"/>
          </w:rPr>
          <w:t>законом</w:t>
        </w:r>
      </w:hyperlink>
      <w:r>
        <w:t xml:space="preserve"> "Об электроэнергетике", постановлениями Правительства Российской Федерации о</w:t>
      </w:r>
      <w:r>
        <w:t xml:space="preserve">т 29 декабря 2011 года </w:t>
      </w:r>
      <w:hyperlink r:id="rId7" w:tooltip="Постановление Правительства РФ от 29.12.2011 N 1178 (ред. от 17.02.2026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>
        <w:r>
          <w:rPr>
            <w:color w:val="0000FF"/>
          </w:rPr>
          <w:t>N 1178</w:t>
        </w:r>
      </w:hyperlink>
      <w:r>
        <w:t xml:space="preserve"> "О ценообразовании в области регулируемых цен (тарифов) в электроэнергетике", от 27 декабря 2004 года </w:t>
      </w:r>
      <w:hyperlink r:id="rId8" w:tooltip="Постановление Правительства РФ от 27.12.2004 N 861 (ред. от 07.02.2026) &quot;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">
        <w:r>
          <w:rPr>
            <w:color w:val="0000FF"/>
          </w:rPr>
          <w:t>N 861</w:t>
        </w:r>
      </w:hyperlink>
      <w:r>
        <w:t xml:space="preserve">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</w:t>
      </w:r>
      <w:r>
        <w:t xml:space="preserve">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t>энергоприни</w:t>
      </w:r>
      <w:r>
        <w:t>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</w:t>
      </w:r>
      <w:hyperlink r:id="rId9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<w:r>
          <w:rPr>
            <w:color w:val="0000FF"/>
          </w:rPr>
          <w:t>приказом</w:t>
        </w:r>
      </w:hyperlink>
      <w:r>
        <w:t xml:space="preserve"> ФАС России от 30 июня 2022 года N 490/22 "Об утверждении Методических указаний по определению размера платы за технологическое присоединение к электрическим сетям", </w:t>
      </w:r>
      <w:hyperlink r:id="rId10" w:tooltip="Постановление Губернатора Челябинской области от 31.12.2014 N 300 (ред. от 16.09.2025) &quot;О Министерстве тарифного регулирования и энергетики Челябинской области&quot; (вместе с &quot;Положением о Министерстве тарифного регулирования и энергетики Челябинской области&quot;) {Ко">
        <w:r>
          <w:rPr>
            <w:color w:val="0000FF"/>
          </w:rPr>
          <w:t>постановлением</w:t>
        </w:r>
      </w:hyperlink>
      <w:r>
        <w:t xml:space="preserve"> Губернатора Челябинской области от 31 декабря 2014 года N 300 "О Министерстве тарифного регулирования и энергетики Челябинс</w:t>
      </w:r>
      <w:r>
        <w:t>кой области", на основании протокола заседания Правления Министерства тарифного регулирования и энергетики Челябинской области от 28 ноября 2025 года N 81 Министерство тарифного регулирования и энергетики Челябинской области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ПОСТАНОВЛЯЕТ: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0" w:name="P14"/>
      <w:bookmarkEnd w:id="0"/>
      <w:r>
        <w:t xml:space="preserve">1. Установить стандартизированные тарифные </w:t>
      </w:r>
      <w:hyperlink w:anchor="P99" w:tooltip="Стандартизированные тарифные ставки">
        <w:r>
          <w:rPr>
            <w:color w:val="0000FF"/>
          </w:rPr>
          <w:t>ставки</w:t>
        </w:r>
      </w:hyperlink>
      <w:r>
        <w:t xml:space="preserve"> для определения платы за технологическое присоединение к электрическим сетям территориальных сетевых организаций Челябинской области на 202</w:t>
      </w:r>
      <w:r>
        <w:t>6 год согласно приложению N 1.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 xml:space="preserve">2. Утвердить </w:t>
      </w:r>
      <w:hyperlink w:anchor="P1071" w:tooltip="Формулы">
        <w:r>
          <w:rPr>
            <w:color w:val="0000FF"/>
          </w:rPr>
          <w:t>формулы</w:t>
        </w:r>
      </w:hyperlink>
      <w:r>
        <w:t xml:space="preserve"> платы за технологическое присоединение к электрическим сетям территориальных сетевых организаций Челябинской области согласно приложению N 2.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1" w:name="P18"/>
      <w:bookmarkEnd w:id="1"/>
      <w:r>
        <w:t>3. В случае техноло</w:t>
      </w:r>
      <w:r>
        <w:t xml:space="preserve">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 заявителей - физических лиц, в том числе за одновременное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заявителей - физических лиц, максимальная мощность которых не превышает 15 кВт включительно </w:t>
      </w:r>
      <w:r>
        <w:t xml:space="preserve">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</w:t>
      </w:r>
      <w:r>
        <w:t xml:space="preserve">сточнику и объектов </w:t>
      </w:r>
      <w:proofErr w:type="spellStart"/>
      <w:r>
        <w:t>микрогенерации</w:t>
      </w:r>
      <w:proofErr w:type="spellEnd"/>
      <w:r>
        <w:t xml:space="preserve">,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</w:t>
      </w:r>
      <w:r>
        <w:t xml:space="preserve">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</w:t>
      </w:r>
      <w:r>
        <w:lastRenderedPageBreak/>
        <w:t>сельской</w:t>
      </w:r>
      <w:r>
        <w:t xml:space="preserve"> местности, плата за технологическое присоединение определяется в размере минимального из следующих значений: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стоимость мероприятий по технологическому присоединению, рассчитанная с применением стандартизированных тарифных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1;</w:t>
      </w:r>
    </w:p>
    <w:p w:rsidR="002B2E3C" w:rsidRDefault="00123D84">
      <w:pPr>
        <w:pStyle w:val="ConsPlusNormal0"/>
        <w:spacing w:before="240"/>
        <w:ind w:firstLine="540"/>
        <w:jc w:val="both"/>
      </w:pPr>
      <w:bookmarkStart w:id="2" w:name="P20"/>
      <w:bookmarkEnd w:id="2"/>
      <w: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</w:t>
      </w:r>
      <w:r>
        <w:t>тий для соответствующих случаев технологического присоединения в размере 13044,18 рублей (с НДС) за кВт. В случае, если стоимость мероприятий по технологическому присоединению, рассчитанная в соответствии с настоящим абзацем, составляет менее платы за техн</w:t>
      </w:r>
      <w:r>
        <w:t xml:space="preserve">ологическое присоединение, рассчитанной в порядке, предусмотренном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пунктом 4</w:t>
        </w:r>
      </w:hyperlink>
      <w:r>
        <w:t xml:space="preserve"> настоящего постановления, то плата за технологическое присоединение рассчитывается в соответствии с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пунктом 4</w:t>
        </w:r>
      </w:hyperlink>
      <w:r>
        <w:t xml:space="preserve"> настоящего постановления.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случае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которые используются для бытовых и иных нужд, </w:t>
      </w:r>
      <w:r>
        <w:t>не связанных с осуществлением предпринимательской деятельности, и электроснабжение которых предусматривается по одному источнику и отнесенных к третьей категории надежности (по одному источнику электроснабжения), присоединяемых к объектам электросетевого х</w:t>
      </w:r>
      <w:r>
        <w:t xml:space="preserve">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</w:t>
      </w:r>
      <w:r>
        <w:t>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присоединен</w:t>
      </w:r>
      <w:r>
        <w:t xml:space="preserve">ию, рассчитанная с применением стандартизированных тарифных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1;</w:t>
      </w:r>
    </w:p>
    <w:p w:rsidR="002B2E3C" w:rsidRDefault="00123D84">
      <w:pPr>
        <w:pStyle w:val="ConsPlusNormal0"/>
        <w:spacing w:before="240"/>
        <w:ind w:firstLine="540"/>
        <w:jc w:val="both"/>
      </w:pPr>
      <w:bookmarkStart w:id="3" w:name="P23"/>
      <w:bookmarkEnd w:id="3"/>
      <w:r>
        <w:t>стоимость мероприятий по технологическому присоединению, рассчитанная с применением льготной ста</w:t>
      </w:r>
      <w:r>
        <w:t>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размере 13044,18 рублей (с НДС) за кВт. В случае, если стоимость мероприятий по технологическому п</w:t>
      </w:r>
      <w:r>
        <w:t xml:space="preserve">рисоединению, рассчитанная в соответствии с настоящим абзацем, составляет менее платы за технологическое присоединение, рассчитанной в порядке, предусмотренном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пунктом 4</w:t>
        </w:r>
      </w:hyperlink>
      <w:r>
        <w:t xml:space="preserve"> настоящего постановления, то плата за технологичес</w:t>
      </w:r>
      <w:r>
        <w:t xml:space="preserve">кое присоединение рассчитывается в соответствии с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пунктом 4</w:t>
        </w:r>
      </w:hyperlink>
      <w:r>
        <w:t xml:space="preserve"> настоящего постановления.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4" w:name="P25"/>
      <w:bookmarkEnd w:id="4"/>
      <w:r>
        <w:t xml:space="preserve">4. В случае подачи заявки в целях увеличения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без изменения кат</w:t>
      </w:r>
      <w:r>
        <w:t xml:space="preserve">егории надежности электроснабжения заявителем,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которого в результате такого увеличения максимальной мощности составит не более 150 кВт включительно, в состав платы за технологическое присоединение запрещает</w:t>
      </w:r>
      <w:r>
        <w:t>ся включение инвестиционной составляющей на покрытие расходов сетевой организации на строительство объектов электросетевого хозяйства, в том числе на строительство объектов электросетевого хозяйства от существующих объектов электросетевого хозяйства до при</w:t>
      </w:r>
      <w:r>
        <w:t xml:space="preserve">соединяемых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состав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</w:t>
      </w:r>
      <w:r>
        <w:lastRenderedPageBreak/>
        <w:t xml:space="preserve">заявителей, указанных в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абзаце первом</w:t>
        </w:r>
      </w:hyperlink>
      <w:r>
        <w:t xml:space="preserve"> настоящего пункта, а также в целях определения размера платы за т</w:t>
      </w:r>
      <w:r>
        <w:t xml:space="preserve">ехнологическое присоединение в соответствии с </w:t>
      </w:r>
      <w:hyperlink w:anchor="P20" w:tooltip="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3" w:tooltip="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">
        <w:r>
          <w:rPr>
            <w:color w:val="0000FF"/>
          </w:rPr>
          <w:t>шестым пункта 3</w:t>
        </w:r>
      </w:hyperlink>
      <w:r>
        <w:t xml:space="preserve"> настоящего постановления допускается включение:</w:t>
      </w:r>
    </w:p>
    <w:p w:rsidR="002B2E3C" w:rsidRDefault="00123D84">
      <w:pPr>
        <w:pStyle w:val="ConsPlusNormal0"/>
        <w:spacing w:before="240"/>
        <w:ind w:firstLine="540"/>
        <w:jc w:val="both"/>
      </w:pPr>
      <w:bookmarkStart w:id="5" w:name="P27"/>
      <w:bookmarkEnd w:id="5"/>
      <w:r>
        <w:t>затрат, связанных с подготовкой и выдачей сетевой орган</w:t>
      </w:r>
      <w:r>
        <w:t>изацией технических условий заявителю;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затрат, связанных с проверкой сетевой организацией выполнения заявителем технических условий;</w:t>
      </w:r>
    </w:p>
    <w:p w:rsidR="002B2E3C" w:rsidRDefault="00123D84">
      <w:pPr>
        <w:pStyle w:val="ConsPlusNormal0"/>
        <w:spacing w:before="240"/>
        <w:ind w:firstLine="540"/>
        <w:jc w:val="both"/>
      </w:pPr>
      <w:bookmarkStart w:id="6" w:name="P29"/>
      <w:bookmarkEnd w:id="6"/>
      <w:r>
        <w:t>затрат на обеспечение средствами коммерческого учета электрической энергии (мощности) (в случаях, если техническими условия</w:t>
      </w:r>
      <w:r>
        <w:t>ми предусмотрена замена прибора учета электрической энергии (мощности)).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Затраты сетевой организации, подлежащие включению в состав платы за технологическое присоединение в соответствии с </w:t>
      </w:r>
      <w:hyperlink w:anchor="P27" w:tooltip="затрат, связанных с подготовкой и выдачей сетевой организацией технических условий заявителю;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29" w:tooltip="затрат на обеспечение средствами коммерческого учета электрической энергии (мощности) (в случаях, если техническими условиями предусмотрена замена прибора учета электрической энергии (мощности)).">
        <w:r>
          <w:rPr>
            <w:color w:val="0000FF"/>
          </w:rPr>
          <w:t>пятым</w:t>
        </w:r>
      </w:hyperlink>
      <w:r>
        <w:t xml:space="preserve"> настоящего пункта, рассчитываются сетевой организацией с применением стандартизированных тарифных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7" w:name="P32"/>
      <w:bookmarkEnd w:id="7"/>
      <w:r>
        <w:t>5. В</w:t>
      </w:r>
      <w:r>
        <w:t xml:space="preserve"> случае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</w:t>
      </w:r>
      <w:r>
        <w:t xml:space="preserve"> с Федеральным </w:t>
      </w:r>
      <w:hyperlink r:id="rId11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24.10.1997 N 134-ФЗ "О прожиточном минимуме в Российской Федерации", а также лиц, указанных: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12" w:tooltip="Федеральный закон от 12.01.1995 N 5-ФЗ (ред. от 20.02.2026) &quot;О ветеранах&quot; {КонсультантПлюс}">
        <w:r>
          <w:rPr>
            <w:color w:val="0000FF"/>
          </w:rPr>
          <w:t>статьях 14</w:t>
        </w:r>
      </w:hyperlink>
      <w:r>
        <w:t xml:space="preserve"> - </w:t>
      </w:r>
      <w:hyperlink r:id="rId13" w:tooltip="Федеральный закон от 12.01.1995 N 5-ФЗ (ред. от 20.02.2026) &quot;О ветеранах&quot;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14" w:tooltip="Федеральный закон от 12.01.1995 N 5-ФЗ (ред. от 20.02.2026) &quot;О ветеранах&quot; {КонсультантПлюс}">
        <w:r>
          <w:rPr>
            <w:color w:val="0000FF"/>
          </w:rPr>
          <w:t>18</w:t>
        </w:r>
      </w:hyperlink>
      <w:r>
        <w:t xml:space="preserve"> и </w:t>
      </w:r>
      <w:hyperlink r:id="rId15" w:tooltip="Федеральный закон от 12.01.1995 N 5-ФЗ (ред. от 20.02.2026) &quot;О ветеранах&quot; {КонсультантПлюс}">
        <w:r>
          <w:rPr>
            <w:color w:val="0000FF"/>
          </w:rPr>
          <w:t>21</w:t>
        </w:r>
      </w:hyperlink>
      <w:r>
        <w:t xml:space="preserve"> Федерального закона от 12.01.1995 N 5-ФЗ "О ветеранах";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16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 17</w:t>
        </w:r>
      </w:hyperlink>
      <w:r>
        <w:t xml:space="preserve"> Федерального закона от 24.11.1995 N 181-ФЗ "О социальной защите инвалидов в Российской Федерации" (вне зависимости от того, являются ли лица, указанные в </w:t>
      </w:r>
      <w:hyperlink r:id="rId1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 17</w:t>
        </w:r>
      </w:hyperlink>
      <w:r>
        <w:t xml:space="preserve"> Федерального закона от 24</w:t>
      </w:r>
      <w:r>
        <w:t>.11.1995 N 181-ФЗ "О социальной защите инвалидов в Российской Федерации", нуждающимися в улучшении жилищных условий);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18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 14</w:t>
        </w:r>
      </w:hyperlink>
      <w:r>
        <w:t xml:space="preserve"> Закона Российской Федерации от 15.05.1991 N 1244-1 "О социальной защите граждан, под</w:t>
      </w:r>
      <w:r>
        <w:t>вергшихся воздействию радиации вследствие катастрофы на Чернобыльской АЭС";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19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статье 2</w:t>
        </w:r>
      </w:hyperlink>
      <w:r>
        <w:t xml:space="preserve"> Федерального закона от 10.01.2002 N 2-ФЗ "О социальны</w:t>
      </w:r>
      <w:r>
        <w:t>х гарантиях гражданам, подвергшимся радиационному воздействию вследствие ядерных испытаний на Семипалатинском полигоне";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части</w:t>
        </w:r>
        <w:r>
          <w:rPr>
            <w:color w:val="0000FF"/>
          </w:rPr>
          <w:t xml:space="preserve"> 8 статьи 154</w:t>
        </w:r>
      </w:hyperlink>
      <w:r>
        <w:t xml:space="preserve"> Федерального закона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</w:t>
      </w:r>
      <w:r>
        <w:t xml:space="preserve">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</w:t>
      </w:r>
      <w:r>
        <w:t>йской Федерации";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21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статье 1</w:t>
        </w:r>
      </w:hyperlink>
      <w:r>
        <w:t xml:space="preserve"> Федерального закона от 26.11.1998 N 175-ФЗ "О социальной защите граждан Российской Федерации, подвергшихся воздействию </w:t>
      </w:r>
      <w:r>
        <w:t xml:space="preserve">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22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пункте 1</w:t>
        </w:r>
      </w:hyperlink>
      <w:r>
        <w:t xml:space="preserve"> и </w:t>
      </w:r>
      <w:hyperlink r:id="rId23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абзаце четвертом пункта 2</w:t>
        </w:r>
      </w:hyperlink>
      <w:r>
        <w:t xml:space="preserve"> постановления Верховного Совета Российской </w:t>
      </w:r>
      <w:r>
        <w:lastRenderedPageBreak/>
        <w:t>Федерации от 27.12.1991 N 2123-1 "О распространении</w:t>
      </w:r>
      <w:r>
        <w:t xml:space="preserve">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24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23.01.2024 N 63 "О мерах социальной поддержки многодетных семей"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при присоединении </w:t>
      </w:r>
      <w:proofErr w:type="spellStart"/>
      <w:r>
        <w:t>энер</w:t>
      </w:r>
      <w:r>
        <w:t>гопринимающих</w:t>
      </w:r>
      <w:proofErr w:type="spellEnd"/>
      <w:r>
        <w:t xml:space="preserve">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</w:t>
      </w:r>
      <w:r>
        <w:t xml:space="preserve">,4 </w:t>
      </w:r>
      <w:proofErr w:type="spellStart"/>
      <w:r>
        <w:t>кВ</w:t>
      </w:r>
      <w:proofErr w:type="spellEnd"/>
      <w:r>
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сельской местности, плата за технологическое присоединение объекто</w:t>
      </w:r>
      <w:r>
        <w:t xml:space="preserve">в </w:t>
      </w:r>
      <w:proofErr w:type="spellStart"/>
      <w:r>
        <w:t>микрогенерации</w:t>
      </w:r>
      <w:proofErr w:type="spellEnd"/>
      <w:r>
        <w:t xml:space="preserve">, в том числе за одновременное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и объектов </w:t>
      </w:r>
      <w:proofErr w:type="spellStart"/>
      <w:r>
        <w:t>микрогенерации</w:t>
      </w:r>
      <w:proofErr w:type="spellEnd"/>
      <w:r>
        <w:t xml:space="preserve">, и </w:t>
      </w:r>
      <w:proofErr w:type="spellStart"/>
      <w:r>
        <w:t>энергопринимающих</w:t>
      </w:r>
      <w:proofErr w:type="spellEnd"/>
      <w:r>
        <w:t xml:space="preserve"> устройств заявителей - физических лиц, максимальная мощность которых не превышает 15 кВт включительно (с</w:t>
      </w:r>
      <w:r>
        <w:t xml:space="preserve">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определяется в размере минимального из следующих значений: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присоединению, рассчитанная с применением стандартизированных тариф</w:t>
      </w:r>
      <w:r>
        <w:t xml:space="preserve">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мощности, в отно</w:t>
      </w:r>
      <w:r>
        <w:t>шении всей совокупности таких мероприятий в размере 1304,42 рублей (с НДС) за кВт для соответствующих случаев технологического присоединения.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8" w:name="P45"/>
      <w:bookmarkEnd w:id="8"/>
      <w:r>
        <w:t xml:space="preserve">6. В отношении </w:t>
      </w:r>
      <w:proofErr w:type="spellStart"/>
      <w:r>
        <w:t>энергопринимающих</w:t>
      </w:r>
      <w:proofErr w:type="spellEnd"/>
      <w:r>
        <w:t xml:space="preserve"> устройств заявителей - юридических лиц или индивидуальных предпринимателей, макс</w:t>
      </w:r>
      <w:r>
        <w:t xml:space="preserve">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присоединяемых по третьей категории надежности (по одному источнику электроснабжения) к объектам электрос</w:t>
      </w:r>
      <w:r>
        <w:t xml:space="preserve">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до ближайшего объекта электрической сети необходимого заявителю класса напряжения составляет не более 200 метров в гор</w:t>
      </w:r>
      <w:r>
        <w:t xml:space="preserve">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не включаются расходы, связанные со строительством объектов электросетевого хозяйства - от существующих </w:t>
      </w:r>
      <w:r>
        <w:t xml:space="preserve">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устройств и (или) объектов электроэнергетики.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 xml:space="preserve">7. Размеры платы за технологическое присоединение, указанные в </w:t>
      </w:r>
      <w:hyperlink w:anchor="P18" w:tooltip="3. В случае технологического присоединения объектов микрогенерации заявителей - физических лиц, в том числе за одновременное технологическое присоединение энергопринимающих устройств заявителей - физических лиц, максимальная мощность которых не превышает 15 кВ">
        <w:r>
          <w:rPr>
            <w:color w:val="0000FF"/>
          </w:rPr>
          <w:t>пунктах 3</w:t>
        </w:r>
      </w:hyperlink>
      <w:r>
        <w:t xml:space="preserve"> - </w:t>
      </w:r>
      <w:hyperlink w:anchor="P45" w:tooltip="6. В отношении энергопринимающих устройств заявителей - юридических лиц или индивидуальных предпринимателей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">
        <w:r>
          <w:rPr>
            <w:color w:val="0000FF"/>
          </w:rPr>
          <w:t>6</w:t>
        </w:r>
      </w:hyperlink>
      <w:r>
        <w:t xml:space="preserve"> настоящего постановления, не могут быть применены в следующих случаях: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</w:t>
      </w:r>
      <w:r>
        <w:t>и) объектом капитального строительства (нежилым помещением в объекте капитального строительства) предоставлены на срок не более одного года;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расположенных в жилых поме</w:t>
      </w:r>
      <w:r>
        <w:t>щениях многоквартирных домов;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lastRenderedPageBreak/>
        <w:t xml:space="preserve">при технологическом присоединении в границах территории Челябинской области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 xml:space="preserve">), соответствующих критериям, указанным в </w:t>
      </w:r>
      <w:hyperlink w:anchor="P18" w:tooltip="3. В случае технологического присоединения объектов микрогенерации заявителей - физических лиц, в том числе за одновременное технологическое присоединение энергопринимающих устройств заявителей - физических лиц, максимальная мощность которых не превышает 15 кВ">
        <w:r>
          <w:rPr>
            <w:color w:val="0000FF"/>
          </w:rPr>
          <w:t>пунктах 3</w:t>
        </w:r>
      </w:hyperlink>
      <w:r>
        <w:t xml:space="preserve"> - </w:t>
      </w:r>
      <w:hyperlink w:anchor="P45" w:tooltip="6. В отношении энергопринимающих устройств заявителей - юридических лиц или индивидуальных предпринимателей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">
        <w:r>
          <w:rPr>
            <w:color w:val="0000FF"/>
          </w:rPr>
          <w:t>6</w:t>
        </w:r>
      </w:hyperlink>
      <w:r>
        <w:t xml:space="preserve"> настоящего постановления, если лицом, обратившимся с заявкой, лицом, передавшим заявителю права владения объектом капитального строительства (нежилым помещением в нем) и (или) земельным участком (в том числе их частью), на кот</w:t>
      </w:r>
      <w:r>
        <w:t xml:space="preserve">орых или в которых расположены (будут располагаться) </w:t>
      </w:r>
      <w:proofErr w:type="spellStart"/>
      <w:r>
        <w:t>энергопринимающие</w:t>
      </w:r>
      <w:proofErr w:type="spellEnd"/>
      <w:r>
        <w:t xml:space="preserve"> устройства заявителя), ранее уже была подана заявка, которая не была аннулирована в соответствии с Правилами технологического присоединения, или заключен договор в целях технологическог</w:t>
      </w:r>
      <w:r>
        <w:t xml:space="preserve">о присоединения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соответствующих указанным критериям, расположенных (предполагаемых к расположению в соответствии с поданной заявкой) в границах территории Челябинской области, при условии, что со дня з</w:t>
      </w:r>
      <w:r>
        <w:t>аключения такого договора не истекло 3 года;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заявителей, соответствующих критериям, указанным в </w:t>
      </w:r>
      <w:hyperlink w:anchor="P18" w:tooltip="3. В случае технологического присоединения объектов микрогенерации заявителей - физических лиц, в том числе за одновременное технологическое присоединение энергопринимающих устройств заявителей - физических лиц, максимальная мощность которых не превышает 15 кВ">
        <w:r>
          <w:rPr>
            <w:color w:val="0000FF"/>
          </w:rPr>
          <w:t>пунктах 3</w:t>
        </w:r>
      </w:hyperlink>
      <w:r>
        <w:t xml:space="preserve"> - </w:t>
      </w:r>
      <w:hyperlink w:anchor="P45" w:tooltip="6. В отношении энергопринимающих устройств заявителей - юридических лиц или индивидуальных предпринимателей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">
        <w:r>
          <w:rPr>
            <w:color w:val="0000FF"/>
          </w:rPr>
          <w:t>6</w:t>
        </w:r>
      </w:hyperlink>
      <w:r>
        <w:t xml:space="preserve"> настоящего п</w:t>
      </w:r>
      <w:r>
        <w:t>остановления, если такие устройства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</w:t>
      </w:r>
      <w:r>
        <w:t xml:space="preserve">тута), на котором расположены (будут располагаться) </w:t>
      </w:r>
      <w:proofErr w:type="spellStart"/>
      <w:r>
        <w:t>энергопринимающие</w:t>
      </w:r>
      <w:proofErr w:type="spellEnd"/>
      <w:r>
        <w:t xml:space="preserve"> устройства, в отношении которых ранее уже была подана заявка, которая не была аннулирована в соответствии с Правилами технологического присоединения, или заключен договор в целях техноло</w:t>
      </w:r>
      <w:r>
        <w:t xml:space="preserve">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 соответствующих указанным критериям, при условии, что со дня заключения такого договора не истекло 3 года (положения настоящего абзаца применяются также в случаях, когда </w:t>
      </w:r>
      <w:proofErr w:type="spellStart"/>
      <w:r>
        <w:t>энергопринимающие</w:t>
      </w:r>
      <w:proofErr w:type="spellEnd"/>
      <w:r>
        <w:t xml:space="preserve"> устройства расп</w:t>
      </w:r>
      <w:r>
        <w:t xml:space="preserve">оложены (будут располагаться) на земельных участках, образованных путем разделения, выделения или перераспределения после подачи заявки и (или) заключения договора в отношении </w:t>
      </w:r>
      <w:proofErr w:type="spellStart"/>
      <w:r>
        <w:t>энергопринимающих</w:t>
      </w:r>
      <w:proofErr w:type="spellEnd"/>
      <w:r>
        <w:t xml:space="preserve"> устройств, расположенных (планируемых к расположению) на исход</w:t>
      </w:r>
      <w:r>
        <w:t>ном земельном участке).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8. В случае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</w:t>
      </w:r>
      <w:r>
        <w:t>ничества, или иным правообладателям объектов недвижимости, расположенных в границах территории садоводства или огородничества, и отнесенных к третьей категории надежности (по одному источнику электроснабжения), присоединяемых к объектам электросетевого хоз</w:t>
      </w:r>
      <w:r>
        <w:t xml:space="preserve">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расстояние, измеренное по прямой линии от границы территории садоводства или огородничества до ближайшего объекта электрической сети необходимого заявителю класса напряжения, с</w:t>
      </w:r>
      <w:r>
        <w:t>оставляет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</w:t>
      </w:r>
      <w:r>
        <w:t xml:space="preserve">единению, рассчитанная с применением стандартизированных тарифных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</w:t>
      </w:r>
      <w:r>
        <w:t>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размере 13044,18 рублей (с НДС) за кВт. В случае, если стоимость мероприятий по технологичес</w:t>
      </w:r>
      <w:r>
        <w:t xml:space="preserve">кому присоединению, рассчитанная в соответствии с настоящим абзацем, составляет менее платы за технологическое присоединение, рассчитанной в порядке, предусмотренном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пунктом 4</w:t>
        </w:r>
      </w:hyperlink>
      <w:r>
        <w:t xml:space="preserve"> настоящего постановления, то плата за технол</w:t>
      </w:r>
      <w:r>
        <w:t xml:space="preserve">огическое присоединение рассчитывается в соответствии с </w:t>
      </w:r>
      <w:hyperlink w:anchor="P25" w:tooltip="4.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">
        <w:r>
          <w:rPr>
            <w:color w:val="0000FF"/>
          </w:rPr>
          <w:t>пунктом 4</w:t>
        </w:r>
      </w:hyperlink>
      <w:r>
        <w:t xml:space="preserve"> настоящего постановления.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9" w:name="P56"/>
      <w:bookmarkEnd w:id="9"/>
      <w:r>
        <w:t xml:space="preserve">9. В случае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члена малоимущей семьи (одиноко проживающего гражданина)</w:t>
      </w:r>
      <w:r>
        <w:t xml:space="preserve">, среднедушевой доход которого ниже величины прожиточного минимума, установленного в Челябинской области, определенным в соответствии с Федеральным </w:t>
      </w:r>
      <w:hyperlink r:id="rId25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24.10.1997 N 134-ФЗ "О прожиточном минимуме в Российской Федерации", а также лиц, указанных: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26" w:tooltip="Федеральный закон от 12.01.1995 N 5-ФЗ (ред. от 20.02.2026) &quot;О ветеранах&quot; {КонсультантПлюс}">
        <w:r>
          <w:rPr>
            <w:color w:val="0000FF"/>
          </w:rPr>
          <w:t>статьях 14</w:t>
        </w:r>
      </w:hyperlink>
      <w:r>
        <w:t xml:space="preserve"> - </w:t>
      </w:r>
      <w:hyperlink r:id="rId27" w:tooltip="Федеральный закон от 12.01.1995 N 5-ФЗ (ред. от 20.02.2026) &quot;О ветеранах&quot;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28" w:tooltip="Федеральный закон от 12.01.1995 N 5-ФЗ (ред. от 20.02.2026) &quot;О ветеранах&quot; {КонсультантПлюс}">
        <w:r>
          <w:rPr>
            <w:color w:val="0000FF"/>
          </w:rPr>
          <w:t>18</w:t>
        </w:r>
      </w:hyperlink>
      <w:r>
        <w:t xml:space="preserve"> и </w:t>
      </w:r>
      <w:hyperlink r:id="rId29" w:tooltip="Федеральный закон от 12.01.1995 N 5-ФЗ (ред. от 20.02.2026) &quot;О ветеранах&quot; {КонсультантПлюс}">
        <w:r>
          <w:rPr>
            <w:color w:val="0000FF"/>
          </w:rPr>
          <w:t>21</w:t>
        </w:r>
      </w:hyperlink>
      <w:r>
        <w:t xml:space="preserve"> Федерального закона от 12.01.1995 N 5-ФЗ "О ветеранах";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0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 17</w:t>
        </w:r>
      </w:hyperlink>
      <w:r>
        <w:t xml:space="preserve"> Федерального закона от 24.11.1995 N 181-ФЗ "О социальной защите инвалидов в Российской Фе</w:t>
      </w:r>
      <w:r>
        <w:t xml:space="preserve">дерации" (вне зависимости от того, являются ли лица, указанные в </w:t>
      </w:r>
      <w:hyperlink r:id="rId3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 17</w:t>
        </w:r>
      </w:hyperlink>
      <w:r>
        <w:t xml:space="preserve"> Федерального закона от 24.11.1995 N 181-ФЗ "О социальной защите инвалидов в Российской Федерации", нуждающимися в улучшении жилищных условий);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 14</w:t>
        </w:r>
      </w:hyperlink>
      <w: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3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статье 2</w:t>
        </w:r>
      </w:hyperlink>
      <w:r>
        <w:t xml:space="preserve"> Федерального закона от 10.01.2002 N 2-ФЗ "О социальных гарантиях гражданам, подвергшимся радиационному воздействию вследствие ядерных</w:t>
      </w:r>
      <w:r>
        <w:t xml:space="preserve"> испытаний на Семипалатинском полигоне";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части 8 статьи 154</w:t>
        </w:r>
      </w:hyperlink>
      <w:r>
        <w:t xml:space="preserve"> Федерального закона от 22.08.2004 N 122-ФЗ "О внесении изменений в</w:t>
      </w:r>
      <w:r>
        <w:t xml:space="preserve">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</w:t>
      </w:r>
      <w:r>
        <w:t>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5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статье 1</w:t>
        </w:r>
      </w:hyperlink>
      <w:r>
        <w:t xml:space="preserve"> Федерального закона от 26.11.1998 N 175-ФЗ "О социальной защите граждан Российской Федерации, подвергшихся воздействию радиации вследствие аварии в 1957 году на производственном</w:t>
      </w:r>
      <w:r>
        <w:t xml:space="preserve">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6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пункте 1</w:t>
        </w:r>
      </w:hyperlink>
      <w:r>
        <w:t xml:space="preserve"> и </w:t>
      </w:r>
      <w:hyperlink r:id="rId37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абзаце четвертом пункта 2</w:t>
        </w:r>
      </w:hyperlink>
      <w:r>
        <w:t xml:space="preserve"> постановления Верховного Совета Российской Федерации от 27.12.1991 N 2123-1 "О распространении действия Закона РСФСР "О социальной защите граждан, подве</w:t>
      </w:r>
      <w:r>
        <w:t>ргшихся воздействию радиации вследствие катастрофы на Чернобыльской АЭС" на граждан из подразделений особого риска";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в </w:t>
      </w:r>
      <w:hyperlink r:id="rId38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23.01.2024</w:t>
      </w:r>
      <w:r>
        <w:t xml:space="preserve"> N 63 "О мерах социальной поддержки многодетных семей"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при присоединении </w:t>
      </w:r>
      <w:proofErr w:type="spellStart"/>
      <w:r>
        <w:t>энергопринимающих</w:t>
      </w:r>
      <w:proofErr w:type="spellEnd"/>
      <w: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</w:t>
      </w:r>
      <w:r>
        <w:t>огородничества, или иным правообладателям объектов недвижимости, расположенных в границах территории садоводства или огородничества, и отнесенных к третьей категории надежности (по одному источнику электроснабжения), присоединяемых к объектам электросетево</w:t>
      </w:r>
      <w:r>
        <w:t xml:space="preserve">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расстояние, измеренное по прямой линии от границы территории садоводства или огородничества до ближайшего объекта электрической сети необходимого заявителю класса напряже</w:t>
      </w:r>
      <w:r>
        <w:t xml:space="preserve">ния, составляет не более 300 метров в городах и поселках городского типа и не более 500 метров в сельской местности, плата за технологическое </w:t>
      </w:r>
      <w:r>
        <w:lastRenderedPageBreak/>
        <w:t>присоединение определяется в размере минимального из следующих значений: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</w:t>
      </w:r>
      <w:r>
        <w:t xml:space="preserve"> присоединению, рассчитанная с применением стандартизированных тарифных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 xml:space="preserve">стоимость мероприятий по технологическому присоединению, рассчитанная с применением </w:t>
      </w:r>
      <w:r>
        <w:t>льготной ставки за 1 кВт запрашиваемой максимальной мощности, в отношении всей совокупности таких мероприятий в размере 1304,42 рублей (с НДС) за кВт для соответствующих случаев технологического присоединения.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bookmarkStart w:id="10" w:name="P69"/>
      <w:bookmarkEnd w:id="10"/>
      <w:r>
        <w:t xml:space="preserve">10. В случае подачи заявки юридическим лицом </w:t>
      </w:r>
      <w:r>
        <w:t xml:space="preserve">или индивидуальным предпринимателем в целях технологического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, а также одновременного технологического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 не более 150 кВт (с учето</w:t>
      </w:r>
      <w:r>
        <w:t xml:space="preserve">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</w:t>
      </w:r>
      <w:r>
        <w:t xml:space="preserve">х </w:t>
      </w:r>
      <w:proofErr w:type="spellStart"/>
      <w:r>
        <w:t>энергопринимающих</w:t>
      </w:r>
      <w:proofErr w:type="spellEnd"/>
      <w:r>
        <w:t xml:space="preserve"> устройств и (или) объектов </w:t>
      </w:r>
      <w:proofErr w:type="spellStart"/>
      <w:r>
        <w:t>микрогенерации</w:t>
      </w:r>
      <w:proofErr w:type="spellEnd"/>
      <w: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</w:t>
      </w:r>
      <w:r>
        <w:t xml:space="preserve">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устройств и (или</w:t>
      </w:r>
      <w:r>
        <w:t xml:space="preserve">) объектов электроэнергетики, а стоимость мероприятий по технологическому присоединению объектов </w:t>
      </w:r>
      <w:proofErr w:type="spellStart"/>
      <w:r>
        <w:t>микрогенерации</w:t>
      </w:r>
      <w:proofErr w:type="spellEnd"/>
      <w:r>
        <w:t xml:space="preserve"> определяется в размере минимального из следующих значений: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присоединению, рассчитанная с применением с</w:t>
      </w:r>
      <w:r>
        <w:t xml:space="preserve">тандартизированных тарифных </w:t>
      </w:r>
      <w:hyperlink w:anchor="P99" w:tooltip="Стандартизированные тарифные ставки">
        <w:r>
          <w:rPr>
            <w:color w:val="0000FF"/>
          </w:rPr>
          <w:t>ставок</w:t>
        </w:r>
      </w:hyperlink>
      <w:r>
        <w:t>, согласно приложению N 1;</w:t>
      </w:r>
    </w:p>
    <w:p w:rsidR="002B2E3C" w:rsidRDefault="00123D84">
      <w:pPr>
        <w:pStyle w:val="ConsPlusNormal0"/>
        <w:spacing w:before="24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льготной ставки за 1 кВт запрашиваемой макси</w:t>
      </w:r>
      <w:r>
        <w:t>мальной мощности в размере 13044,18 рублей (с НДС) за кВт.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>11. Стандартизированные тарифные ставки, формулы платы за технологическое присоединение, размеры платы за технологическое присоединение к электрическим сетям территориальных сетевых организаций Че</w:t>
      </w:r>
      <w:r>
        <w:t xml:space="preserve">лябинской области, установленные в </w:t>
      </w:r>
      <w:hyperlink w:anchor="P14" w:tooltip="1. Установить стандартизированные тарифные ставки для определения платы за технологическое присоединение к электрическим сетям территориальных сетевых организаций Челябинской области на 2026 год согласно приложению N 1.">
        <w:r>
          <w:rPr>
            <w:color w:val="0000FF"/>
          </w:rPr>
          <w:t>пунктах 1</w:t>
        </w:r>
      </w:hyperlink>
      <w:r>
        <w:t xml:space="preserve"> - </w:t>
      </w:r>
      <w:hyperlink w:anchor="P69" w:tooltip="10. В случае подачи заявки юридическим лицом или индивидуальным предпринимателем в целях технологического присоединения объектов микрогенерации, а также одновременного технологического присоединения объектов микрогенерации и энергопринимающих устройств максима">
        <w:r>
          <w:rPr>
            <w:color w:val="0000FF"/>
          </w:rPr>
          <w:t>10</w:t>
        </w:r>
      </w:hyperlink>
      <w:r>
        <w:t xml:space="preserve"> настоящего постановления, подлежат применению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с применением временной схемы электроснабжения, в том числе для обе</w:t>
      </w:r>
      <w:r>
        <w:t xml:space="preserve">спечения электрической энергией передвижных </w:t>
      </w:r>
      <w:proofErr w:type="spellStart"/>
      <w:r>
        <w:t>энергопринимающих</w:t>
      </w:r>
      <w:proofErr w:type="spellEnd"/>
      <w:r>
        <w:t xml:space="preserve"> устройств с максимальной мощностью до 150 кВт включительно (с учетом мощности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и для постоянной схемы электроснабже</w:t>
      </w:r>
      <w:r>
        <w:t>ния.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 xml:space="preserve">12. Стандартизированные тарифные ставки, формулы платы за технологическое присоединение, размеры платы за технологическое присоединение к электрическим сетям территориальных сетевых организаций Челябинской области, установленные в </w:t>
      </w:r>
      <w:hyperlink w:anchor="P14" w:tooltip="1. Установить стандартизированные тарифные ставки для определения платы за технологическое присоединение к электрическим сетям территориальных сетевых организаций Челябинской области на 2026 год согласно приложению N 1.">
        <w:r>
          <w:rPr>
            <w:color w:val="0000FF"/>
          </w:rPr>
          <w:t>пунктах 1</w:t>
        </w:r>
      </w:hyperlink>
      <w:r>
        <w:t xml:space="preserve"> - </w:t>
      </w:r>
      <w:hyperlink w:anchor="P69" w:tooltip="10. В случае подачи заявки юридическим лицом или индивидуальным предпринимателем в целях технологического присоединения объектов микрогенерации, а также одновременного технологического присоединения объектов микрогенерации и энергопринимающих устройств максима">
        <w:r>
          <w:rPr>
            <w:color w:val="0000FF"/>
          </w:rPr>
          <w:t>10</w:t>
        </w:r>
      </w:hyperlink>
      <w:r>
        <w:t xml:space="preserve"> настоящего постановления, подлежат применению в отношении сетевых </w:t>
      </w:r>
      <w:hyperlink w:anchor="P1186" w:tooltip="Территориальные сетевые организации">
        <w:r>
          <w:rPr>
            <w:color w:val="0000FF"/>
          </w:rPr>
          <w:t>организаций</w:t>
        </w:r>
      </w:hyperlink>
      <w:r>
        <w:t xml:space="preserve"> согласно приложению N 3.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 xml:space="preserve">13. Прекратить действие </w:t>
      </w:r>
      <w:hyperlink r:id="rId39" w:tooltip="Постановление Министерства тарифного регулирования и энергетики Челябинской области от 27.11.2024 N 89/3 (ред. от 23.10.2025) &quot;Об установлении платы за технологическое присоединение к электрическим сетям территориальных сетевых организаций Челябинской области ">
        <w:r>
          <w:rPr>
            <w:color w:val="0000FF"/>
          </w:rPr>
          <w:t>постановления</w:t>
        </w:r>
      </w:hyperlink>
      <w:r>
        <w:t xml:space="preserve"> Министерства тарифного регулирования и энергетики Челябинской области от 27.11.2024 N 89/3 "Об установлении платы за </w:t>
      </w:r>
      <w:r>
        <w:lastRenderedPageBreak/>
        <w:t>технологическое п</w:t>
      </w:r>
      <w:r>
        <w:t>рисоединение к электрическим сетям территориальных сетевых организаций Челябинской области на 2025 год" с 1 января 2026 года.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ind w:firstLine="540"/>
        <w:jc w:val="both"/>
      </w:pPr>
      <w:r>
        <w:t>14. Настоящее постановление вступает в силу со дня его подписания и действует с 1 января 2026 года по 31 декабря 2026 года.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jc w:val="right"/>
      </w:pPr>
      <w:r>
        <w:t>Мини</w:t>
      </w:r>
      <w:r>
        <w:t>стр</w:t>
      </w:r>
    </w:p>
    <w:p w:rsidR="002B2E3C" w:rsidRDefault="00123D84">
      <w:pPr>
        <w:pStyle w:val="ConsPlusNormal0"/>
        <w:jc w:val="right"/>
      </w:pPr>
      <w:r>
        <w:t>тарифного регулирования</w:t>
      </w:r>
    </w:p>
    <w:p w:rsidR="002B2E3C" w:rsidRDefault="00123D84">
      <w:pPr>
        <w:pStyle w:val="ConsPlusNormal0"/>
        <w:jc w:val="right"/>
      </w:pPr>
      <w:r>
        <w:t>и энергетики</w:t>
      </w:r>
    </w:p>
    <w:p w:rsidR="002B2E3C" w:rsidRDefault="00123D84">
      <w:pPr>
        <w:pStyle w:val="ConsPlusNormal0"/>
        <w:jc w:val="right"/>
      </w:pPr>
      <w:r>
        <w:t>Челябинской области</w:t>
      </w:r>
    </w:p>
    <w:p w:rsidR="002B2E3C" w:rsidRDefault="00123D84">
      <w:pPr>
        <w:pStyle w:val="ConsPlusNormal0"/>
        <w:jc w:val="right"/>
      </w:pPr>
      <w:r>
        <w:t>А.А.ДРЫГА</w:t>
      </w: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jc w:val="right"/>
        <w:outlineLvl w:val="0"/>
      </w:pPr>
      <w:r>
        <w:t>Приложение N 1</w:t>
      </w:r>
    </w:p>
    <w:p w:rsidR="002B2E3C" w:rsidRDefault="00123D84">
      <w:pPr>
        <w:pStyle w:val="ConsPlusNormal0"/>
        <w:jc w:val="right"/>
      </w:pPr>
      <w:r>
        <w:t>к постановлению</w:t>
      </w:r>
    </w:p>
    <w:p w:rsidR="002B2E3C" w:rsidRDefault="00123D84">
      <w:pPr>
        <w:pStyle w:val="ConsPlusNormal0"/>
        <w:jc w:val="right"/>
      </w:pPr>
      <w:r>
        <w:t>Министерства</w:t>
      </w:r>
    </w:p>
    <w:p w:rsidR="002B2E3C" w:rsidRDefault="00123D84">
      <w:pPr>
        <w:pStyle w:val="ConsPlusNormal0"/>
        <w:jc w:val="right"/>
      </w:pPr>
      <w:r>
        <w:t>тарифного регулирования</w:t>
      </w:r>
    </w:p>
    <w:p w:rsidR="002B2E3C" w:rsidRDefault="00123D84">
      <w:pPr>
        <w:pStyle w:val="ConsPlusNormal0"/>
        <w:jc w:val="right"/>
      </w:pPr>
      <w:r>
        <w:t>и энергетики</w:t>
      </w:r>
    </w:p>
    <w:p w:rsidR="002B2E3C" w:rsidRDefault="00123D84">
      <w:pPr>
        <w:pStyle w:val="ConsPlusNormal0"/>
        <w:jc w:val="right"/>
      </w:pPr>
      <w:r>
        <w:t>Челябинской области</w:t>
      </w:r>
    </w:p>
    <w:p w:rsidR="002B2E3C" w:rsidRDefault="00123D84">
      <w:pPr>
        <w:pStyle w:val="ConsPlusNormal0"/>
        <w:jc w:val="right"/>
      </w:pPr>
      <w:r>
        <w:t>от 28 ноября 2025 г. N 81/18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Title0"/>
        <w:jc w:val="center"/>
      </w:pPr>
      <w:bookmarkStart w:id="11" w:name="P99"/>
      <w:bookmarkEnd w:id="11"/>
      <w:r>
        <w:t>Стандартизированные тарифные ставки</w:t>
      </w:r>
    </w:p>
    <w:p w:rsidR="002B2E3C" w:rsidRDefault="00123D84">
      <w:pPr>
        <w:pStyle w:val="ConsPlusTitle0"/>
        <w:jc w:val="center"/>
      </w:pPr>
      <w:r>
        <w:t>для определения платы за технологическое присоединение</w:t>
      </w:r>
    </w:p>
    <w:p w:rsidR="002B2E3C" w:rsidRDefault="00123D84">
      <w:pPr>
        <w:pStyle w:val="ConsPlusTitle0"/>
        <w:jc w:val="center"/>
      </w:pPr>
      <w:r>
        <w:t>к электрическим сетям территориальных сетевых организаций</w:t>
      </w:r>
    </w:p>
    <w:p w:rsidR="002B2E3C" w:rsidRDefault="00123D84">
      <w:pPr>
        <w:pStyle w:val="ConsPlusTitle0"/>
        <w:jc w:val="center"/>
      </w:pPr>
      <w:r>
        <w:t>Челябинской области на 2026 год</w:t>
      </w: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sectPr w:rsidR="002B2E3C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814"/>
        <w:gridCol w:w="4139"/>
        <w:gridCol w:w="2098"/>
        <w:gridCol w:w="2721"/>
      </w:tblGrid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Обозначение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Размер стандартизированной тарифной ставки</w:t>
            </w:r>
          </w:p>
          <w:p w:rsidR="002B2E3C" w:rsidRDefault="00123D84">
            <w:pPr>
              <w:pStyle w:val="ConsPlusNormal0"/>
              <w:jc w:val="center"/>
            </w:pPr>
            <w:r>
              <w:t>(без учета НДС)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С1</w:t>
            </w:r>
          </w:p>
        </w:tc>
        <w:tc>
          <w:tcPr>
            <w:tcW w:w="6237" w:type="dxa"/>
            <w:gridSpan w:val="2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мероприятиям, </w:t>
            </w:r>
            <w:r>
              <w:t xml:space="preserve">указанным в </w:t>
            </w:r>
            <w:hyperlink r:id="rId46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пункте 16</w:t>
              </w:r>
            </w:hyperlink>
            <w:r>
              <w:t xml:space="preserve"> Методических указаний по определению размера платы за технологическое присоединение к электрическим сетям, ут</w:t>
            </w:r>
            <w:r>
              <w:t xml:space="preserve">вержденных приказом ФАС России от 30.06.2022 N 490/22 (кроме </w:t>
            </w:r>
            <w:hyperlink r:id="rId47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подпункта "б"</w:t>
              </w:r>
            </w:hyperlink>
            <w:r>
              <w:t>)</w:t>
            </w:r>
          </w:p>
        </w:tc>
        <w:tc>
          <w:tcPr>
            <w:tcW w:w="2721" w:type="dxa"/>
            <w:vAlign w:val="center"/>
          </w:tcPr>
          <w:p w:rsidR="002B2E3C" w:rsidRDefault="002B2E3C">
            <w:pPr>
              <w:pStyle w:val="ConsPlusNormal0"/>
            </w:pPr>
          </w:p>
        </w:tc>
      </w:tr>
      <w:tr w:rsidR="002B2E3C">
        <w:tc>
          <w:tcPr>
            <w:tcW w:w="12189" w:type="dxa"/>
            <w:gridSpan w:val="5"/>
            <w:vAlign w:val="center"/>
          </w:tcPr>
          <w:p w:rsidR="002B2E3C" w:rsidRDefault="00123D84">
            <w:pPr>
              <w:pStyle w:val="ConsPlusNormal0"/>
              <w:jc w:val="both"/>
              <w:outlineLvl w:val="2"/>
            </w:pPr>
            <w:r>
              <w:t xml:space="preserve">Заявителям, указанным в </w:t>
            </w:r>
            <w:hyperlink r:id="rId48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абзаце шестом пункта 24</w:t>
              </w:r>
            </w:hyperlink>
            <w:r>
              <w:t xml:space="preserve"> Методических указаний по определению размера платы за технологическое присоединение к электрическим сетям, ут</w:t>
            </w:r>
            <w:r>
              <w:t>вержденных приказом ФАС России от 30.06.2022 N 490/22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С1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электросетевого хозяйства, принад</w:t>
            </w:r>
            <w:r>
              <w:t>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одно присоединение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19719,53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С1.1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</w:t>
            </w:r>
            <w:r>
              <w:lastRenderedPageBreak/>
              <w:t>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 xml:space="preserve">рублей за одно </w:t>
            </w:r>
            <w:r>
              <w:lastRenderedPageBreak/>
              <w:t>присоединение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9546,45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С1.2.1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</w:t>
            </w:r>
            <w:r>
              <w:t xml:space="preserve">ов на выдачу уведомления об обеспечении сетевой организацией возможности присоединения к электрическим сетям Заявителям, указанным в </w:t>
            </w:r>
            <w:hyperlink r:id="rId49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абзаце шестом пункта 24</w:t>
              </w:r>
            </w:hyperlink>
            <w:r>
              <w:t xml:space="preserve">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одно присоединение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10173,08</w:t>
            </w:r>
          </w:p>
        </w:tc>
      </w:tr>
      <w:tr w:rsidR="002B2E3C">
        <w:tc>
          <w:tcPr>
            <w:tcW w:w="12189" w:type="dxa"/>
            <w:gridSpan w:val="5"/>
            <w:vAlign w:val="center"/>
          </w:tcPr>
          <w:p w:rsidR="002B2E3C" w:rsidRDefault="00123D84">
            <w:pPr>
              <w:pStyle w:val="ConsPlusNormal0"/>
              <w:jc w:val="both"/>
              <w:outlineLvl w:val="2"/>
            </w:pPr>
            <w:r>
              <w:t xml:space="preserve">Заявителям, указанным в </w:t>
            </w:r>
            <w:hyperlink r:id="rId50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абзаце седьмом пункта 24</w:t>
              </w:r>
            </w:hyperlink>
            <w:r>
              <w:t xml:space="preserve"> Методических указаний по определению размера платы за технологическое присоединение к электрическим сетям, у</w:t>
            </w:r>
            <w:r>
              <w:t>твержденных приказом ФАС России от 30.06.2022 N 490/22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С1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электросетевого хозяйства, прина</w:t>
            </w:r>
            <w:r>
              <w:t>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одно присоединение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19719,53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С1.1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сетевой организации на подготовку и выдачу </w:t>
            </w:r>
            <w:r>
              <w:lastRenderedPageBreak/>
              <w:t>сетевой организацией технических условий заявителю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рублей за одно присоединение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9546,45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С1.2.2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на проверку выполнения технических условий Заявителями, указанными в </w:t>
            </w:r>
            <w:hyperlink r:id="rId51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абзац</w:t>
              </w:r>
              <w:r>
                <w:rPr>
                  <w:color w:val="0000FF"/>
                </w:rPr>
                <w:t>е седьмом пункта 24</w:t>
              </w:r>
            </w:hyperlink>
            <w:r>
              <w:t xml:space="preserve">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одно присоединение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10173,08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С2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 в расчете на 1 км линий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2.1.1.3.1.1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изолированным </w:t>
            </w:r>
            <w:proofErr w:type="spellStart"/>
            <w:r>
              <w:t>сталеал</w:t>
            </w:r>
            <w:r>
              <w:t>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3510614,63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2.1.1.4.1.1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1656498,83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2.1.1.4.2.1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1497646,39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2.1.1.4.2.1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lastRenderedPageBreak/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2202990,81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2.1.1.4.3.1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воздушные линии на деревянных опорах изолированным алюминиевым проводом сечени</w:t>
            </w:r>
            <w:r>
              <w:t xml:space="preserve">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1579935,89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2.1.2.3.1.1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1448405,17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2.1.2.3.1.1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12903984,46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2.1.7.4.1.1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неизолированным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17815749,71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2.1.2.4.1.2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деревянных опорах неизолированным алюминиевым проводом сечением до 50 квадратных мм включительно </w:t>
            </w:r>
            <w:proofErr w:type="spellStart"/>
            <w:r>
              <w:t>двухцепные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8405799,22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</w:t>
            </w:r>
            <w:r>
              <w:t xml:space="preserve">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696091,03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2.3.1.3.1.1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2117527,66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2.3.1.3.1.2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двухцепные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3945815,63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2.3.1.3.2.1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воздушные линии на железобетонных опорах изолированным</w:t>
            </w:r>
            <w:r>
              <w:t xml:space="preserve">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2425557,67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2299188,00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</w:t>
            </w:r>
            <w:r>
              <w:t xml:space="preserve">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4924154,63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>
              <w:t>двухцепные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2502240,20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>
              <w:t>двухцепные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15547644,52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2.3.1.4.2.1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2467291,53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6301231,35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воздушные линии на железобетонных опорах изолированным алюминиевым проводо</w:t>
            </w:r>
            <w:r>
              <w:t xml:space="preserve">м сечением от 50 до 100 квадратных мм включительно </w:t>
            </w:r>
            <w:proofErr w:type="spellStart"/>
            <w:r>
              <w:t>двухцепные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2762109,28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t>двухцепные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13944499</w:t>
            </w:r>
            <w:r>
              <w:t>,34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2429108,67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2.3.1.4.3.1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7927555,65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2.3.2.3.1.1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</w:t>
            </w:r>
            <w:r>
              <w:lastRenderedPageBreak/>
              <w:t xml:space="preserve">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1145154,82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2.3.2.3.1.1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</w:t>
            </w:r>
            <w:r>
              <w:t xml:space="preserve">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8074696,89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2.3.2.3.2.1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18459</w:t>
            </w:r>
            <w:r>
              <w:t>952,28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2.3.2.3.3.1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110 </w:t>
            </w:r>
            <w:proofErr w:type="spellStart"/>
            <w:r>
              <w:t>кВ</w:t>
            </w:r>
            <w:proofErr w:type="spellEnd"/>
            <w:r>
              <w:t xml:space="preserve"> и выше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96326702,97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2.3.2.4.1.1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неизолированным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2193858,37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2.3.2.4.1.1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воздушные линии на железобетонных опорах неизолированным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2741633,63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С3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строительство кабельны</w:t>
            </w:r>
            <w:r>
              <w:t xml:space="preserve">х линий электропередачи на i-м уровне напряжения в расчете </w:t>
            </w:r>
            <w:r>
              <w:lastRenderedPageBreak/>
              <w:t>на 1 км линий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3.1.1.1.1.1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1778483,22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8708656,14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3.1.1.1.1.3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до 50 квадратных мм включительно с тремя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5387808,54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</w:t>
            </w:r>
            <w:r>
              <w:t>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17148796,90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30494243,41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3.1.1.1.3.1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</w:t>
            </w:r>
            <w:r>
              <w:t xml:space="preserve">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14809761,75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4874340,01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19370054,20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3.1.1.1.3.4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</w:t>
            </w:r>
            <w:r>
              <w:t>новой или пластмассовой изоляцией сечением провода от 100 до 200 квадратных мм включительно с четырьмя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6127075,45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10212965,27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</w:t>
            </w:r>
            <w:r>
              <w:t xml:space="preserve"> или </w:t>
            </w:r>
            <w:r>
              <w:lastRenderedPageBreak/>
              <w:t>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10992114,07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3.1.1.1.4.5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резиновой или пластмассовой изоляцией сечением провода от 200 до 250 квадратных мм включительно с количеством кабелей в траншее более четырех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11503190,29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3.1.1.2.1.1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</w:t>
            </w:r>
            <w:r>
              <w:t>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6047285,32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3.1.1.2.2.1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бумажной изоляцией сечением провода от 50 до 100 квадратных мм вклю</w:t>
            </w:r>
            <w:r>
              <w:t>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5358020,19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3.1.1.2.3.1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одножильные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10281341,50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8298550,09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5353269,51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7548378,53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3.1.2.1.1.3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</w:t>
            </w:r>
            <w:r>
              <w:t>ластмассовой изоляцией сечением провода до 50 квадратных мм включительно с тремя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6801697,67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5528570,88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</w:t>
            </w:r>
            <w:r>
              <w:t xml:space="preserve">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3645397,63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15 - 20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резиновой или </w:t>
            </w:r>
            <w:r>
              <w:lastRenderedPageBreak/>
              <w:t>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1105442,46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</w:t>
            </w:r>
            <w:r>
              <w:t>овой или пластмассовой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9157352,34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резиновой или пластмассовой изоляцией сечением провода </w:t>
            </w:r>
            <w:r>
              <w:t>от 50 до 100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5522438,10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3.1.2.1.2.3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тремя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4203628,29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3.1.2.1.2.4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</w:t>
            </w:r>
            <w:r>
              <w:t>новой или пластмассовой изоляцией сечением провода от 50 до 100 квадратных мм включительно с четырьмя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15996896,74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резиновой или пластмассовой изоляцией сечением провода от 100 до 200 квадратных мм </w:t>
            </w:r>
            <w:r>
              <w:lastRenderedPageBreak/>
              <w:t>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9332515,88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4904108,91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</w:t>
            </w:r>
            <w:r>
              <w:t>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7943638,26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3939188,46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</w:t>
            </w:r>
            <w:r>
              <w:t>иновой или пластмассовой изоляцией сечением провода от 100 до 200 квадратных мм включительно с тремя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9097883,69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3.1.2.1.3.4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6333179,92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3.1.2.1.3.5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</w:t>
            </w:r>
            <w:r>
              <w:t>резиновой или пластмассовой изоляцией сечением провода от 100 до 200 квадратных мм включительно с количеством кабелей в траншее более четырех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12582623,30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</w:t>
            </w:r>
            <w:r>
              <w:t>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17033666,47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18906937,91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</w:t>
            </w:r>
            <w:r>
              <w:t>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8989821,36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9842540,58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3.1.2.1.4.4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резиновой или </w:t>
            </w:r>
            <w:r>
              <w:lastRenderedPageBreak/>
              <w:t>пластмассовой изоляцией сечением провода от 200 до 250 квадратных мм включительно с четырьмя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20844302,36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3.1.2.2.1.1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</w:t>
            </w:r>
            <w:r>
              <w:t xml:space="preserve">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6034583,92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6239486,92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</w:t>
            </w:r>
            <w:r>
              <w:t>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23660210,98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7815851,47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15 - 20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</w:t>
            </w:r>
            <w:r>
              <w:t xml:space="preserve"> провода от 50 до 100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19892955,43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бумажной изоляцией </w:t>
            </w:r>
            <w:r>
              <w:lastRenderedPageBreak/>
              <w:t>сечением провода от 50 до 100 квадратных мм включительно с двумя кабелями в т</w:t>
            </w:r>
            <w:r>
              <w:t>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13604515,12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5716675,63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3900156,04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15 - 20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4648463,34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7211683,14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</w:t>
            </w:r>
            <w:r>
              <w:t>м провода от 100 до 200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16214529,77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3.1.2.2.4.1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 в траншеях многожильные с бумажной изоляцией сечением провода от 200 до 250 </w:t>
            </w:r>
            <w:r>
              <w:lastRenderedPageBreak/>
              <w:t>квадратных мм включительно с одним кабелем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6787130,13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3.1.2.2.4.2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траншеях многожильные с бумажной изоляцией сечением</w:t>
            </w:r>
            <w:r>
              <w:t xml:space="preserve"> провода от 200 до 250 квадратных мм включительно с двумя кабелями в траншее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13471273,30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3.3.2.2.4.5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 в каналах многожильные с бумажной изоляцией сечением провода от 200 до 250 квадратных мм включительно с количеством кабелей в канале более четырех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102507978,70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3.6.1.1.1.2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</w:t>
            </w:r>
            <w:r>
              <w:t>льного наклонного бурения, одножильные с резиновой или пластмассовой изоляцией сечением провода до 50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7565015,11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3.6.1.1.2.2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</w:t>
            </w:r>
            <w:r>
              <w:t>клонного бурения, одножильные с резиновой или пластмассовой изоляцией сечением провода от 50 до 100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87234730,88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3.6.1.1.3.1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</w:t>
            </w:r>
            <w:r>
              <w:lastRenderedPageBreak/>
              <w:t>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16312556,54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3.6.1.1.3.2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</w:t>
            </w:r>
            <w:r>
              <w:t>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22238646,86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3.6.1.1.3.4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четырьмя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35159842,94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3.6.1.1.4.2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12816972,35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3.6.1.2.2.2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одножильные с бумажной изоляцией сечением провода от 50 до 100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34659999,63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линии, прокладываемые методом горизонтального наклонного бурения, многожильные с резиновой </w:t>
            </w:r>
            <w:r>
              <w:lastRenderedPageBreak/>
              <w:t>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15232113,54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3.6.2.1.1.1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</w:t>
            </w:r>
            <w:r>
              <w:t>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10270369,05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20321537,81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</w:t>
            </w:r>
            <w:r>
              <w:t>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24615127,27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</w:t>
            </w:r>
            <w:r>
              <w:t>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11136712,41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3.6.2.1.2.2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14784457,90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3.6.2.1.2.3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</w:t>
            </w:r>
            <w:r>
              <w:t>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тремя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12271833,75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17242627,80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</w:t>
            </w:r>
            <w:r>
              <w:t>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14033472,94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</w:t>
            </w:r>
            <w:r>
              <w:t>.2.1.3.2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</w:t>
            </w:r>
            <w:r>
              <w:lastRenderedPageBreak/>
              <w:t>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20986399,91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3.6.2.1.3.3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тремя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60743731</w:t>
            </w:r>
            <w:r>
              <w:t>,46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тремя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2557630</w:t>
            </w:r>
            <w:r>
              <w:t>8,67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3.6.2.1.3.4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четырьмя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54691375,55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</w:t>
            </w:r>
            <w:r>
              <w:t>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17732614,08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кабельные линии, прокладываемые методом горизонтального наклонного </w:t>
            </w:r>
            <w:r>
              <w:lastRenderedPageBreak/>
              <w:t>бурения, многожильные с резиновой или пластмассовой изоляцией сечением провода от 200 до 250 квадратных мм включительно с двумя трубами в скважин</w:t>
            </w:r>
            <w:r>
              <w:t>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35382061,83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3.6.2.1.4.2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9753129,92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13844947,82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48568475,78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</w:t>
            </w:r>
            <w:r>
              <w:t>аемые методом горизонтального наклонного бурения, многожильные с бумажной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19865150,21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</w:t>
            </w:r>
            <w:r>
              <w:t xml:space="preserve">нтального наклонного </w:t>
            </w:r>
            <w:r>
              <w:lastRenderedPageBreak/>
              <w:t>бурения, многожильные с бумажной изоляцией сечением провода от 50 до 100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18155862,23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3.6.2.2.3.1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6657512,11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</w:t>
            </w:r>
            <w:r>
              <w:t>кладываемые методом горизонтального наклонного бурения, многожильные с бумажной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9323290,47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тремя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34995654,83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3.6.2.2.3.4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</w:t>
            </w:r>
            <w:r>
              <w:t>рокладываемые методом горизонтального наклонного бурения, многожильные с бумажной изоляцией сечением провода от 100 до 200 квадратных мм включительно с четырьмя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24535136,31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</w:t>
            </w:r>
            <w:r>
              <w:t xml:space="preserve">етодом горизонтального наклонного бурения, многожильные с бумажной изоляцией сечением провода от 200 до </w:t>
            </w:r>
            <w:r>
              <w:lastRenderedPageBreak/>
              <w:t>250 квадратных мм включительно с двумя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22197285,56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3.6.2.2.4.3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200 до 250 квадратных мм включительно с тремя трубами в скважине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8196100,72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3.6.2.2.4.5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кабельные линии, пр</w:t>
            </w:r>
            <w:r>
              <w:t>окладываемые методом горизонтального наклонного бурения, многожильные с бумажной изоляцией сечением провода от 200 до 250 квадратных мм включительно с количеством труб в скважине более четырех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руб./км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18415423,53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С4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строительство пунктов секционирования на i-м уровне напряжения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4.1.4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реклоузеры</w:t>
            </w:r>
            <w:proofErr w:type="spellEnd"/>
            <w:r>
              <w:t xml:space="preserve"> номинальным током от 500 до 1000 А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2173589,89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4.2.3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линейные разъединители номинальным током от 250 до 500 А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85295,47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4.2.4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линейные разъединители номинальным током от 500 до 1000 А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15234,69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выключатели нагрузки, устанавливаемые вне трансформаторных подстанций и распределительных и переключательных пунктов, </w:t>
            </w:r>
            <w:r>
              <w:lastRenderedPageBreak/>
              <w:t>номинальным током до 100 А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9724,03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4.3.2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выключатели нагрузки, устанавливаемые вне трансформаторных п</w:t>
            </w:r>
            <w:r>
              <w:t>одстанций и распределительных и переключательных пунктов, номинальным током от 100 до 250 А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6309,51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4.4.1.1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распределительные пункты (РП), за исключением комплектных распределительных устройств наружной установки (КРН, </w:t>
            </w:r>
            <w:r>
              <w:t>КРУН), номинальным током до 100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32622,51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4.4.2.1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распределительные пункты (РП), за исключением комплектных распределительных устройств наружной установки (КРН, КРУН), номинальным током от 100 до 250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157932,75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4.4.3.1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распределит</w:t>
            </w:r>
            <w:r>
              <w:t>ельные пункты (РП), за исключением комплектных распределительных устройств наружной установки (КРН, КРУН), номинальным током от 250 до 500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46546,20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4.4.4.1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распределительные пункты (РП), за исключением комплектных </w:t>
            </w:r>
            <w:r>
              <w:lastRenderedPageBreak/>
              <w:t>распределительных устройств наружной установки (КРН, КРУН), номинальным током от 500 до 1000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1780692,27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4.4.4.2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 А включительно с количеством ячеек от 5 до 10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11804105,31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4.5.1.1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ко</w:t>
            </w:r>
            <w:r>
              <w:t>мплектные распределительные устройства наружной установки (КРН, КРУН) номинальным током до 100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114724,95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4.5.2.1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комплектные распределительные устройства наружной установки (КРН, КРУН) номинальным током от 100 до 250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45396,38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4.5.2.1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комплектные распределительные устройства наружной установки (К</w:t>
            </w:r>
            <w:r>
              <w:t>РН, КРУН) номинальным током от 100 до 250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133850,90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4.5.4.1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комплектные распределительные устройства наружной установки (КРН, КРУН) номинальным током от 500 до 1000 А включительно с количеством ячеек до 5 включительно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2740582,38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lastRenderedPageBreak/>
              <w:t>С5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</w:t>
            </w:r>
            <w:r>
              <w:t xml:space="preserve">ии на строительство комплектных трансформаторных подстанций (КТП) с уровнем напряжения до 35 </w:t>
            </w:r>
            <w:proofErr w:type="spellStart"/>
            <w:r>
              <w:t>кВ</w:t>
            </w:r>
            <w:proofErr w:type="spellEnd"/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62469,19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47743,44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</w:t>
            </w:r>
            <w:r>
              <w:t xml:space="preserve">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92227,69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 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53062,72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20198,69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24414,30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</w:t>
            </w:r>
            <w:r>
              <w:lastRenderedPageBreak/>
              <w:t xml:space="preserve">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52858,25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5.1.2.2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</w:t>
            </w:r>
            <w:r>
              <w:t xml:space="preserve">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28619,37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5.1.2.3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42177,67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11916,77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</w:t>
            </w:r>
            <w:r>
              <w:t>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19828,67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26948,93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24858,15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бло</w:t>
            </w:r>
            <w:r>
              <w:t>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35488,94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5.1.3.3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29877,89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5.1.4.1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44018,07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20795,44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шк</w:t>
            </w:r>
            <w:r>
              <w:t xml:space="preserve">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37539,09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5.1.4.3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7961,46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5.1.4.3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21395,57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5.1.5.2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</w:t>
            </w:r>
            <w:r>
              <w:t>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14339,21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5.1.5.2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</w:t>
            </w:r>
            <w:r>
              <w:lastRenderedPageBreak/>
              <w:t xml:space="preserve">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11584,61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5.1.6.2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630 </w:t>
            </w:r>
            <w:proofErr w:type="spellStart"/>
            <w:r>
              <w:t>кВА</w:t>
            </w:r>
            <w:proofErr w:type="spellEnd"/>
            <w:r>
              <w:t xml:space="preserve"> до 1000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12130,12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</w:t>
            </w:r>
            <w:r>
              <w:t xml:space="preserve">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7065,57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22741,21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15159,70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5.2.3.1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5003,29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</w:t>
            </w:r>
            <w:r>
              <w:t xml:space="preserve">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32517,50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5.2.3.2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18856,62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40341,09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5.2.3.3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б</w:t>
            </w:r>
            <w:r>
              <w:t>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40776,07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18420,43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5.2.4.2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33831,52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5.2.4.3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24784,69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5.2.5.2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lastRenderedPageBreak/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17046,29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5.2.5.2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30264,29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5.2.5.3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8975,00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5.2.6.2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630 до 1000 </w:t>
            </w:r>
            <w:proofErr w:type="spellStart"/>
            <w:r>
              <w:t>кВА</w:t>
            </w:r>
            <w:proofErr w:type="spellEnd"/>
            <w:r>
              <w:t xml:space="preserve"> включительно ш</w:t>
            </w:r>
            <w:r>
              <w:t xml:space="preserve">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3371,17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5.2.6.3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630 до 1000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25211,10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5.2.9.3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1600 до 2000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26104,43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5.2.10.2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10/0,4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2000 до 2500 </w:t>
            </w:r>
            <w:proofErr w:type="spellStart"/>
            <w:r>
              <w:t>кВА</w:t>
            </w:r>
            <w:proofErr w:type="spellEnd"/>
            <w:r>
              <w:t xml:space="preserve"> включител</w:t>
            </w:r>
            <w:r>
              <w:t xml:space="preserve">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17823,69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С6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сетевой организации на строительство распределительных трансформаторных подстанций (РТП) с уровнем </w:t>
            </w:r>
            <w:r>
              <w:lastRenderedPageBreak/>
              <w:t xml:space="preserve">напряжения до 35 </w:t>
            </w:r>
            <w:proofErr w:type="spellStart"/>
            <w:r>
              <w:t>кВ</w:t>
            </w:r>
            <w:proofErr w:type="spellEnd"/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6.2.2.2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6 (10)/0,4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распределительные </w:t>
            </w:r>
            <w:proofErr w:type="spellStart"/>
            <w:r>
              <w:t>двухтрансформаторные</w:t>
            </w:r>
            <w:proofErr w:type="spellEnd"/>
            <w:r>
              <w:t xml:space="preserve"> подстанции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закрытого типа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руб./кВт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17039,94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С7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строительство центров питания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7.2.5.1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110/6 (10) </w:t>
            </w:r>
            <w:proofErr w:type="spellStart"/>
            <w:r>
              <w:t>кВ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2B2E3C" w:rsidRDefault="00123D84">
            <w:pPr>
              <w:pStyle w:val="ConsPlusNormal0"/>
              <w:jc w:val="both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мощностью от 25 МВА до 32 МВА включительно открытого типа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27369,45</w:t>
            </w:r>
          </w:p>
        </w:tc>
      </w:tr>
      <w:tr w:rsidR="002B2E3C">
        <w:tc>
          <w:tcPr>
            <w:tcW w:w="3231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  <w:outlineLvl w:val="1"/>
            </w:pPr>
            <w:r>
              <w:t>С8</w:t>
            </w:r>
          </w:p>
        </w:tc>
        <w:tc>
          <w:tcPr>
            <w:tcW w:w="8958" w:type="dxa"/>
            <w:gridSpan w:val="3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8.1.1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28604,40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8.1.2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средства коммерческого учета электрической энергии (мощности) однофазные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23438,76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39830,72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8.2.1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средства коммерческого учета электрической энергии (мощности) тре</w:t>
            </w:r>
            <w:r>
              <w:t>хфазные прямого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448647,45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и ниже</w:t>
            </w:r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средства коммерческого учета электрической энергии (мощности) трехфазные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49758,40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8.2.2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1 - 20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средства коммерческого учета электрической энергии (мощности) трехфазные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246451,28</w:t>
            </w:r>
          </w:p>
        </w:tc>
      </w:tr>
      <w:tr w:rsidR="002B2E3C">
        <w:tc>
          <w:tcPr>
            <w:tcW w:w="1417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8.2.3</w:t>
            </w:r>
          </w:p>
        </w:tc>
        <w:tc>
          <w:tcPr>
            <w:tcW w:w="181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 xml:space="preserve">1 - 10 </w:t>
            </w:r>
            <w:proofErr w:type="spellStart"/>
            <w:r>
              <w:t>кВ</w:t>
            </w:r>
            <w:proofErr w:type="spellEnd"/>
          </w:p>
        </w:tc>
        <w:tc>
          <w:tcPr>
            <w:tcW w:w="4139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209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рублей за точку учета</w:t>
            </w:r>
          </w:p>
        </w:tc>
        <w:tc>
          <w:tcPr>
            <w:tcW w:w="272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364339,95</w:t>
            </w:r>
          </w:p>
        </w:tc>
      </w:tr>
    </w:tbl>
    <w:p w:rsidR="002B2E3C" w:rsidRDefault="002B2E3C">
      <w:pPr>
        <w:pStyle w:val="ConsPlusNormal0"/>
        <w:sectPr w:rsidR="002B2E3C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jc w:val="right"/>
        <w:outlineLvl w:val="0"/>
      </w:pPr>
      <w:r>
        <w:t>Приложение N 2</w:t>
      </w:r>
    </w:p>
    <w:p w:rsidR="002B2E3C" w:rsidRDefault="00123D84">
      <w:pPr>
        <w:pStyle w:val="ConsPlusNormal0"/>
        <w:jc w:val="right"/>
      </w:pPr>
      <w:r>
        <w:t>к постановлению</w:t>
      </w:r>
    </w:p>
    <w:p w:rsidR="002B2E3C" w:rsidRDefault="00123D84">
      <w:pPr>
        <w:pStyle w:val="ConsPlusNormal0"/>
        <w:jc w:val="right"/>
      </w:pPr>
      <w:r>
        <w:t>Министерства</w:t>
      </w:r>
    </w:p>
    <w:p w:rsidR="002B2E3C" w:rsidRDefault="00123D84">
      <w:pPr>
        <w:pStyle w:val="ConsPlusNormal0"/>
        <w:jc w:val="right"/>
      </w:pPr>
      <w:r>
        <w:t>тарифного регулирования</w:t>
      </w:r>
    </w:p>
    <w:p w:rsidR="002B2E3C" w:rsidRDefault="00123D84">
      <w:pPr>
        <w:pStyle w:val="ConsPlusNormal0"/>
        <w:jc w:val="right"/>
      </w:pPr>
      <w:r>
        <w:t>и энергетики</w:t>
      </w:r>
    </w:p>
    <w:p w:rsidR="002B2E3C" w:rsidRDefault="00123D84">
      <w:pPr>
        <w:pStyle w:val="ConsPlusNormal0"/>
        <w:jc w:val="right"/>
      </w:pPr>
      <w:r>
        <w:t>Челябинской области</w:t>
      </w:r>
    </w:p>
    <w:p w:rsidR="002B2E3C" w:rsidRDefault="00123D84">
      <w:pPr>
        <w:pStyle w:val="ConsPlusNormal0"/>
        <w:jc w:val="right"/>
      </w:pPr>
      <w:r>
        <w:t>от 28 ноября 2025 г. N 81/18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Title0"/>
        <w:jc w:val="center"/>
      </w:pPr>
      <w:bookmarkStart w:id="12" w:name="P1071"/>
      <w:bookmarkEnd w:id="12"/>
      <w:r>
        <w:t>Формулы</w:t>
      </w:r>
    </w:p>
    <w:p w:rsidR="002B2E3C" w:rsidRDefault="00123D84">
      <w:pPr>
        <w:pStyle w:val="ConsPlusTitle0"/>
        <w:jc w:val="center"/>
      </w:pPr>
      <w:r>
        <w:t>определения платы за технологическое присоединение</w:t>
      </w:r>
    </w:p>
    <w:p w:rsidR="002B2E3C" w:rsidRDefault="00123D84">
      <w:pPr>
        <w:pStyle w:val="ConsPlusTitle0"/>
        <w:jc w:val="center"/>
      </w:pPr>
      <w:r>
        <w:t>к электрическим сетям территориальных сетевых организаций</w:t>
      </w:r>
    </w:p>
    <w:p w:rsidR="002B2E3C" w:rsidRDefault="00123D84">
      <w:pPr>
        <w:pStyle w:val="ConsPlusTitle0"/>
        <w:jc w:val="center"/>
      </w:pPr>
      <w:r>
        <w:t>Челябинской области</w:t>
      </w:r>
    </w:p>
    <w:p w:rsidR="002B2E3C" w:rsidRDefault="002B2E3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1361"/>
        <w:gridCol w:w="8447"/>
      </w:tblGrid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Формула платы за техно</w:t>
            </w:r>
            <w:r>
              <w:t>логическое присоединение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При применении стандартизированных тарифных ставок: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Если отсутствует необходимость реализации мероприятий "последней мили"</w:t>
            </w:r>
          </w:p>
          <w:p w:rsidR="002B2E3C" w:rsidRDefault="002B2E3C">
            <w:pPr>
              <w:pStyle w:val="ConsPlusNormal0"/>
            </w:pPr>
          </w:p>
          <w:p w:rsidR="002B2E3C" w:rsidRDefault="00123D84">
            <w:pPr>
              <w:pStyle w:val="ConsPlusNormal0"/>
              <w:jc w:val="center"/>
            </w:pPr>
            <w:proofErr w:type="spellStart"/>
            <w:r>
              <w:t>Ттп</w:t>
            </w:r>
            <w:proofErr w:type="spellEnd"/>
            <w:r>
              <w:t xml:space="preserve"> = C</w:t>
            </w:r>
            <w:r>
              <w:rPr>
                <w:vertAlign w:val="subscript"/>
              </w:rPr>
              <w:t>1</w:t>
            </w:r>
            <w:r>
              <w:t xml:space="preserve"> + C</w:t>
            </w:r>
            <w:r>
              <w:rPr>
                <w:vertAlign w:val="subscript"/>
              </w:rPr>
              <w:t>8</w:t>
            </w:r>
            <w:r>
              <w:t xml:space="preserve"> x q</w:t>
            </w:r>
          </w:p>
        </w:tc>
      </w:tr>
      <w:tr w:rsidR="002B2E3C" w:rsidRPr="00123D84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Если при технологическом присоединении Заявителя согласно техническим условиям предусматривается мероприятие "последней мили" по прокладке воздушных и (или) кабельных линий</w:t>
            </w:r>
          </w:p>
          <w:p w:rsidR="002B2E3C" w:rsidRDefault="002B2E3C">
            <w:pPr>
              <w:pStyle w:val="ConsPlusNormal0"/>
            </w:pPr>
          </w:p>
          <w:p w:rsidR="002B2E3C" w:rsidRPr="00123D84" w:rsidRDefault="00123D84">
            <w:pPr>
              <w:pStyle w:val="ConsPlusNormal0"/>
              <w:jc w:val="center"/>
              <w:rPr>
                <w:lang w:val="en-US"/>
              </w:rPr>
            </w:pPr>
            <w:proofErr w:type="spellStart"/>
            <w:r>
              <w:t>Т</w:t>
            </w:r>
            <w:r>
              <w:rPr>
                <w:vertAlign w:val="subscript"/>
              </w:rPr>
              <w:t>тп</w:t>
            </w:r>
            <w:proofErr w:type="spellEnd"/>
            <w:r w:rsidRPr="00123D84">
              <w:rPr>
                <w:lang w:val="en-US"/>
              </w:rPr>
              <w:t xml:space="preserve"> = C</w:t>
            </w:r>
            <w:r w:rsidRPr="00123D84">
              <w:rPr>
                <w:vertAlign w:val="subscript"/>
                <w:lang w:val="en-US"/>
              </w:rPr>
              <w:t>1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2</w:t>
            </w:r>
            <w:r w:rsidRPr="00123D84">
              <w:rPr>
                <w:lang w:val="en-US"/>
              </w:rPr>
              <w:t xml:space="preserve"> x L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3</w:t>
            </w:r>
            <w:r w:rsidRPr="00123D84">
              <w:rPr>
                <w:lang w:val="en-US"/>
              </w:rPr>
              <w:t xml:space="preserve"> x L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8</w:t>
            </w:r>
            <w:r w:rsidRPr="00123D84">
              <w:rPr>
                <w:lang w:val="en-US"/>
              </w:rPr>
              <w:t xml:space="preserve"> x q</w:t>
            </w:r>
          </w:p>
        </w:tc>
      </w:tr>
      <w:tr w:rsidR="002B2E3C" w:rsidRPr="00123D84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ind w:firstLine="283"/>
              <w:jc w:val="both"/>
            </w:pPr>
            <w:r>
              <w:t>Если при технологическом присоединении За</w:t>
            </w:r>
            <w:r>
              <w:t>явителя согласно техническим условиям предусматриваются мероприятия "последней мили" по строительству пунктов секционирования (</w:t>
            </w:r>
            <w:proofErr w:type="spellStart"/>
            <w:r>
              <w:t>реклоузеров</w:t>
            </w:r>
            <w:proofErr w:type="spellEnd"/>
            <w:r>
              <w:t xml:space="preserve">, распределительных пунктов, переключательных пунктов), </w:t>
            </w:r>
            <w:r>
              <w:lastRenderedPageBreak/>
              <w:t>трансформаторных подстанций (ТП), за исключением распределител</w:t>
            </w:r>
            <w:r>
              <w:t xml:space="preserve">ьных трансформаторных подстанций (РТП), распределительных трансформаторных подстанций (РТП) с уровнем напряжения до 35 </w:t>
            </w:r>
            <w:proofErr w:type="spellStart"/>
            <w:r>
              <w:t>кВ</w:t>
            </w:r>
            <w:proofErr w:type="spellEnd"/>
            <w:r>
              <w:t xml:space="preserve"> и на строительство центров питания, подстанций уровнем напряжения 35 </w:t>
            </w:r>
            <w:proofErr w:type="spellStart"/>
            <w:r>
              <w:t>кВ</w:t>
            </w:r>
            <w:proofErr w:type="spellEnd"/>
            <w:r>
              <w:t xml:space="preserve"> и выше (ПС)</w:t>
            </w:r>
          </w:p>
          <w:p w:rsidR="002B2E3C" w:rsidRDefault="002B2E3C">
            <w:pPr>
              <w:pStyle w:val="ConsPlusNormal0"/>
            </w:pPr>
          </w:p>
          <w:p w:rsidR="002B2E3C" w:rsidRPr="00123D84" w:rsidRDefault="00123D84">
            <w:pPr>
              <w:pStyle w:val="ConsPlusNormal0"/>
              <w:jc w:val="center"/>
              <w:rPr>
                <w:lang w:val="en-US"/>
              </w:rPr>
            </w:pPr>
            <w:proofErr w:type="spellStart"/>
            <w:r>
              <w:t>Т</w:t>
            </w:r>
            <w:r>
              <w:rPr>
                <w:vertAlign w:val="subscript"/>
              </w:rPr>
              <w:t>тп</w:t>
            </w:r>
            <w:proofErr w:type="spellEnd"/>
            <w:r w:rsidRPr="00123D84">
              <w:rPr>
                <w:lang w:val="en-US"/>
              </w:rPr>
              <w:t xml:space="preserve"> = C</w:t>
            </w:r>
            <w:r w:rsidRPr="00123D84">
              <w:rPr>
                <w:vertAlign w:val="subscript"/>
                <w:lang w:val="en-US"/>
              </w:rPr>
              <w:t>1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2</w:t>
            </w:r>
            <w:r w:rsidRPr="00123D84">
              <w:rPr>
                <w:lang w:val="en-US"/>
              </w:rPr>
              <w:t xml:space="preserve"> x L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3</w:t>
            </w:r>
            <w:r w:rsidRPr="00123D84">
              <w:rPr>
                <w:lang w:val="en-US"/>
              </w:rPr>
              <w:t xml:space="preserve"> x L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4</w:t>
            </w:r>
            <w:r w:rsidRPr="00123D84">
              <w:rPr>
                <w:lang w:val="en-US"/>
              </w:rPr>
              <w:t xml:space="preserve"> x k + C</w:t>
            </w:r>
            <w:r w:rsidRPr="00123D84">
              <w:rPr>
                <w:vertAlign w:val="subscript"/>
                <w:lang w:val="en-US"/>
              </w:rPr>
              <w:t>5</w:t>
            </w:r>
            <w:r w:rsidRPr="00123D84">
              <w:rPr>
                <w:lang w:val="en-US"/>
              </w:rPr>
              <w:t xml:space="preserve"> x N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6</w:t>
            </w:r>
            <w:r w:rsidRPr="00123D84">
              <w:rPr>
                <w:lang w:val="en-US"/>
              </w:rPr>
              <w:t xml:space="preserve"> x N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7</w:t>
            </w:r>
            <w:r w:rsidRPr="00123D84">
              <w:rPr>
                <w:lang w:val="en-US"/>
              </w:rPr>
              <w:t xml:space="preserve"> x N</w:t>
            </w:r>
            <w:r w:rsidRPr="00123D84">
              <w:rPr>
                <w:vertAlign w:val="subscript"/>
                <w:lang w:val="en-US"/>
              </w:rPr>
              <w:t>I</w:t>
            </w:r>
            <w:r w:rsidRPr="00123D84">
              <w:rPr>
                <w:lang w:val="en-US"/>
              </w:rPr>
              <w:t xml:space="preserve"> + C</w:t>
            </w:r>
            <w:r w:rsidRPr="00123D84">
              <w:rPr>
                <w:vertAlign w:val="subscript"/>
                <w:lang w:val="en-US"/>
              </w:rPr>
              <w:t>8</w:t>
            </w:r>
            <w:r w:rsidRPr="00123D84">
              <w:rPr>
                <w:lang w:val="en-US"/>
              </w:rPr>
              <w:t xml:space="preserve"> x q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два года, то стоимость мероприятий, учитываемых в плате, ра</w:t>
            </w:r>
            <w:r>
              <w:t>ссчитанной в год подачи заявки, индексируется следующим образом:</w:t>
            </w:r>
          </w:p>
          <w:p w:rsidR="002B2E3C" w:rsidRDefault="00123D84">
            <w:pPr>
              <w:pStyle w:val="ConsPlusNormal0"/>
              <w:ind w:firstLine="283"/>
              <w:jc w:val="both"/>
            </w:pPr>
            <w:r>
              <w:t>- 50 % стоимости мероприятий, предусмотренных техническими условиями, для присоединения к электрическим сетям, определяется в ценах года, соответствующего году утверждения платы;</w:t>
            </w:r>
          </w:p>
          <w:p w:rsidR="002B2E3C" w:rsidRDefault="00123D84">
            <w:pPr>
              <w:pStyle w:val="ConsPlusNormal0"/>
              <w:ind w:firstLine="283"/>
              <w:jc w:val="both"/>
            </w:pPr>
            <w:r>
              <w:t>- 50 % стоим</w:t>
            </w:r>
            <w:r>
              <w:t>ости мероприятий, предусмотренных техническими условиями, умножается на прогнозный индекс цен производителей по подразделу "Строительство" раздела "Капитальные вложения (инвестиции)", публикуемых Министерством экономического развития Российской Федерации н</w:t>
            </w:r>
            <w:r>
              <w:t>а год, следующий за годом утверждения платы (при отсутствии данного индекса используется индекс потребительских цен)</w:t>
            </w:r>
          </w:p>
          <w:p w:rsidR="002B2E3C" w:rsidRDefault="002B2E3C">
            <w:pPr>
              <w:pStyle w:val="ConsPlusNormal0"/>
            </w:pPr>
          </w:p>
          <w:p w:rsidR="002B2E3C" w:rsidRDefault="00123D84">
            <w:pPr>
              <w:pStyle w:val="ConsPlusNormal0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5806440" cy="5143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44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3C" w:rsidRDefault="00123D84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6149340" cy="4489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934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</w:pPr>
            <w:r>
              <w:t>где: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мероприятиям, </w:t>
            </w:r>
            <w:r>
              <w:t xml:space="preserve">указанным в </w:t>
            </w:r>
            <w:hyperlink r:id="rId58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пункте 16</w:t>
              </w:r>
            </w:hyperlink>
            <w:r>
              <w:t xml:space="preserve"> Методических указаний (кроме </w:t>
            </w:r>
            <w:hyperlink r:id="rId59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подпунктов "б"</w:t>
              </w:r>
            </w:hyperlink>
            <w:r>
              <w:t>), руб. за одно присоединение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2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сетевой организации на строительство воздушных линий электропередачи на i-м уровне </w:t>
            </w:r>
            <w:r>
              <w:lastRenderedPageBreak/>
              <w:t xml:space="preserve">напряжения в расчете </w:t>
            </w:r>
            <w:r>
              <w:t>на 1 км линий (руб./км)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3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 (руб./км)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proofErr w:type="spellStart"/>
            <w:r>
              <w:t>L</w:t>
            </w:r>
            <w:r>
              <w:rPr>
                <w:vertAlign w:val="subscript"/>
              </w:rPr>
              <w:t>i</w:t>
            </w:r>
            <w:proofErr w:type="spellEnd"/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Суммарная протяженность воздушных </w:t>
            </w:r>
            <w:r>
              <w:t>и (или) кабельных линий, строительство которых предусмотрено согласно выданным техническим условиям для технологического присоединения Заявителя (км)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4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строительство секционирования (</w:t>
            </w:r>
            <w:proofErr w:type="spellStart"/>
            <w:r>
              <w:t>реклоузеров</w:t>
            </w:r>
            <w:proofErr w:type="spellEnd"/>
            <w:r>
              <w:t>, распределительных пунктов, переключательных пунктов) на i-м уровне напряжения (руб./шт.)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5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Стандартизированная тарифная ставка на покрытие расходов сетевой организации на строительство трансформаторных подстанций (ТП) за исключением распределительных трансформаторных подстанций (РТП), с уровнем напряжения до 35 </w:t>
            </w:r>
            <w:proofErr w:type="spellStart"/>
            <w:r>
              <w:t>кВ</w:t>
            </w:r>
            <w:proofErr w:type="spellEnd"/>
            <w:r>
              <w:t xml:space="preserve"> (руб./кВт)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6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</w:t>
            </w:r>
            <w:r>
              <w:t xml:space="preserve">ванная тарифная ставка на покрытие расходов сетевой организации на строительство на строительство распределительных трансформаторных подстанций (РТП) с уровнем напряжения до 35 </w:t>
            </w:r>
            <w:proofErr w:type="spellStart"/>
            <w:r>
              <w:t>кВ</w:t>
            </w:r>
            <w:proofErr w:type="spellEnd"/>
            <w:r>
              <w:t xml:space="preserve"> (ПС) (руб./кВт)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7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</w:t>
            </w:r>
            <w:r>
              <w:t xml:space="preserve">дов сетевой организации на строительство на строительство подстанций уровнем напряжения 35 </w:t>
            </w:r>
            <w:proofErr w:type="spellStart"/>
            <w:r>
              <w:t>кВ</w:t>
            </w:r>
            <w:proofErr w:type="spellEnd"/>
            <w:r>
              <w:t xml:space="preserve"> и выше (ПС) (руб./кВт)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C</w:t>
            </w:r>
            <w:r>
              <w:rPr>
                <w:vertAlign w:val="subscript"/>
              </w:rPr>
              <w:t>8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Стандартизированная тарифная ставка на покрытие расходов сетевой организации на обеспечение средствами коммерческого учета электриче</w:t>
            </w:r>
            <w:r>
              <w:t>ской энергии (мощности) (руб. за точку учета)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Количество пунктов секционирования (</w:t>
            </w:r>
            <w:proofErr w:type="spellStart"/>
            <w:r>
              <w:t>реклоузеров</w:t>
            </w:r>
            <w:proofErr w:type="spellEnd"/>
            <w:r>
              <w:t>, распределительных пунктов, переключательных пунктов) (штук)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proofErr w:type="spellStart"/>
            <w:r>
              <w:t>N</w:t>
            </w:r>
            <w:r>
              <w:rPr>
                <w:vertAlign w:val="subscript"/>
              </w:rPr>
              <w:t>i</w:t>
            </w:r>
            <w:proofErr w:type="spellEnd"/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Объем максимальной мощности, указанный Заявителем в заявке на технологическое присоединение (кВт)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q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Количество точек учета (штук)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z</w:t>
            </w:r>
            <w:r>
              <w:rPr>
                <w:vertAlign w:val="subscript"/>
              </w:rPr>
              <w:t>1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Прогнозный индекс цен производителей по подразделу "Строительство" раздела "Капитальные вложения (инвестиции)", пуб</w:t>
            </w:r>
            <w:r>
              <w:t>ликуемых Министерством экономического развития Российской Федерации на год, следующий за годом утверждения платы (при отсутствии данного индекса используется индекс потребительских цен)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 случае заключения договора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</w:t>
            </w:r>
            <w:r>
              <w:t>х</w:t>
            </w:r>
            <w:proofErr w:type="spellEnd"/>
            <w:r>
              <w:t xml:space="preserve"> устройств), владеющих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      </w:r>
            <w:proofErr w:type="spellStart"/>
            <w:r>
              <w:t>кВ</w:t>
            </w:r>
            <w:proofErr w:type="spellEnd"/>
            <w:r>
              <w:t xml:space="preserve"> и ниже необходим</w:t>
            </w:r>
            <w:r>
              <w:t xml:space="preserve">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объектов </w:t>
            </w:r>
            <w:proofErr w:type="spellStart"/>
            <w:r>
              <w:t>микрогенерации</w:t>
            </w:r>
            <w:proofErr w:type="spellEnd"/>
            <w:r>
              <w:t>, в том числе за одновременное технологичес</w:t>
            </w:r>
            <w:r>
              <w:t xml:space="preserve">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, лицами, указанными в </w:t>
            </w:r>
            <w:hyperlink w:anchor="P32" w:tooltip="5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пунктах 5</w:t>
              </w:r>
            </w:hyperlink>
            <w:r>
              <w:t xml:space="preserve">, </w:t>
            </w:r>
            <w:hyperlink w:anchor="P56" w:tooltip="9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9</w:t>
              </w:r>
            </w:hyperlink>
            <w:r>
              <w:t xml:space="preserve"> настоящего постановления, плата за технологическое присоединение </w:t>
            </w:r>
            <w:proofErr w:type="spellStart"/>
            <w:r>
              <w:t>энергоприним</w:t>
            </w:r>
            <w:r>
              <w:t>ающих</w:t>
            </w:r>
            <w:proofErr w:type="spellEnd"/>
            <w:r>
              <w:t xml:space="preserve">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(Р</w:t>
            </w:r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соц</w:t>
            </w:r>
            <w:proofErr w:type="spellEnd"/>
            <w:r>
              <w:rPr>
                <w:vertAlign w:val="subscript"/>
              </w:rPr>
              <w:t>)</w:t>
            </w:r>
            <w:r>
              <w:t>) определяется исходя из стоимости мероприятий по технологическому присоединению в соответствии с формулой:</w:t>
            </w:r>
          </w:p>
          <w:p w:rsidR="002B2E3C" w:rsidRDefault="002B2E3C">
            <w:pPr>
              <w:pStyle w:val="ConsPlusNormal0"/>
            </w:pPr>
          </w:p>
          <w:p w:rsidR="002B2E3C" w:rsidRDefault="00123D84">
            <w:pPr>
              <w:pStyle w:val="ConsPlusNormal0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183130" cy="3086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</w:pPr>
            <w:r>
              <w:t>где: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proofErr w:type="spellStart"/>
            <w:r>
              <w:t>Р</w:t>
            </w:r>
            <w:r>
              <w:rPr>
                <w:vertAlign w:val="subscript"/>
              </w:rPr>
              <w:t>станд.ст</w:t>
            </w:r>
            <w:proofErr w:type="spellEnd"/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стоимость мероприятий по технологическому присоединению, рассчитанная с использованием стандартизированных тарифных ставок по формуле платы за технологическое присоединение, руб.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proofErr w:type="spellStart"/>
            <w:r>
              <w:t>Р</w:t>
            </w:r>
            <w:r>
              <w:rPr>
                <w:vertAlign w:val="subscript"/>
              </w:rPr>
              <w:t>соц</w:t>
            </w:r>
            <w:proofErr w:type="spellEnd"/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льготная ставка за 1 кВт запрашиваемой максимальной мощности при технологическом присоединении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</w:t>
            </w:r>
            <w:r>
              <w:t xml:space="preserve">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владеющих объектами, отнесенными к третьей </w:t>
            </w:r>
            <w:r>
              <w:lastRenderedPageBreak/>
              <w:t>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</w:t>
            </w:r>
            <w:r>
              <w:t xml:space="preserve"> напряжения 0,4 </w:t>
            </w:r>
            <w:proofErr w:type="spellStart"/>
            <w:r>
              <w:t>кВ</w:t>
            </w:r>
            <w:proofErr w:type="spellEnd"/>
            <w:r>
      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, в том </w:t>
            </w:r>
            <w:r>
              <w:t xml:space="preserve">числе за одновременное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, при заключении договора лицом, предусмотренным </w:t>
            </w:r>
            <w:hyperlink w:anchor="P32" w:tooltip="5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пунктах 5</w:t>
              </w:r>
            </w:hyperlink>
            <w:r>
              <w:t xml:space="preserve">, </w:t>
            </w:r>
            <w:hyperlink w:anchor="P56" w:tooltip="9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9</w:t>
              </w:r>
            </w:hyperlink>
            <w:r>
              <w:t xml:space="preserve"> настоящего поста</w:t>
            </w:r>
            <w:r>
              <w:t>новления, руб./кВт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>запрашиваемая максимальная мощность присоединяемых Устройств, кВт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 случае технологического присоединения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Заявителей - физических лиц, в том числе при одновременном технологическом присоединении </w:t>
            </w:r>
            <w:proofErr w:type="spellStart"/>
            <w:r>
              <w:t>энергопр</w:t>
            </w:r>
            <w:r>
              <w:t>инимающих</w:t>
            </w:r>
            <w:proofErr w:type="spellEnd"/>
            <w:r>
      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и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, а также </w:t>
            </w:r>
            <w:proofErr w:type="spellStart"/>
            <w:r>
              <w:t>энергопринимающих</w:t>
            </w:r>
            <w:proofErr w:type="spellEnd"/>
            <w:r>
              <w:t xml:space="preserve"> у</w:t>
            </w:r>
            <w:r>
              <w:t xml:space="preserve">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при присоединении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(или) объектов </w:t>
            </w:r>
            <w:proofErr w:type="spellStart"/>
            <w:r>
              <w:t>ми</w:t>
            </w:r>
            <w:r>
              <w:t>крогенерации</w:t>
            </w:r>
            <w:proofErr w:type="spellEnd"/>
            <w:r>
              <w:t xml:space="preserve"> по третьей категории надежности к объектам электросетевого хозяйства сетевой организации на уровне напряжения 0,4 </w:t>
            </w:r>
            <w:proofErr w:type="spellStart"/>
            <w:r>
              <w:t>кВ</w:t>
            </w:r>
            <w:proofErr w:type="spellEnd"/>
            <w:r>
              <w:t xml:space="preserve"> и ниже при условии, что расстояние от границ участка заявителя до ближайшего объекта электрической сети необходимого заявителю</w:t>
            </w:r>
            <w:r>
              <w:t xml:space="preserve"> класса напряжения, в которую подана заявка, составляет не более 300 метров в городах и поселках городского типа и не более 500 метров в сельской местности, за исключением случаев, предусмотренных </w:t>
            </w:r>
            <w:hyperlink w:anchor="P32" w:tooltip="5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пунктами 5</w:t>
              </w:r>
            </w:hyperlink>
            <w:r>
              <w:t xml:space="preserve">, </w:t>
            </w:r>
            <w:hyperlink w:anchor="P56" w:tooltip="9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9</w:t>
              </w:r>
            </w:hyperlink>
            <w:r>
              <w:t xml:space="preserve"> настоящего постановления, плата за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(Р</w:t>
            </w:r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несоц</w:t>
            </w:r>
            <w:proofErr w:type="spellEnd"/>
            <w:r>
              <w:rPr>
                <w:vertAlign w:val="subscript"/>
              </w:rPr>
              <w:t>)</w:t>
            </w:r>
            <w:r>
              <w:t>) определяется исходя из стоимости мероприятий по технологическому присоединению в соответствии</w:t>
            </w:r>
            <w:r>
              <w:t xml:space="preserve"> с формулой:</w:t>
            </w:r>
          </w:p>
          <w:p w:rsidR="002B2E3C" w:rsidRDefault="002B2E3C">
            <w:pPr>
              <w:pStyle w:val="ConsPlusNormal0"/>
            </w:pPr>
          </w:p>
          <w:p w:rsidR="002B2E3C" w:rsidRDefault="00123D84">
            <w:pPr>
              <w:pStyle w:val="ConsPlusNormal0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331720" cy="3086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</w:pPr>
            <w:r>
              <w:t>где: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proofErr w:type="spellStart"/>
            <w:r>
              <w:t>Р</w:t>
            </w:r>
            <w:r>
              <w:rPr>
                <w:vertAlign w:val="subscript"/>
              </w:rPr>
              <w:t>несоц</w:t>
            </w:r>
            <w:proofErr w:type="spellEnd"/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льготная ставка за 1 кВт запрашиваемой максимальной мощности при технологическом присоединении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(за исключением </w:t>
            </w:r>
            <w:r>
              <w:lastRenderedPageBreak/>
              <w:t>случаев подачи заявки Заявителем - юридическим лицом или индивидуальным предпринимателем в целях одновременного присоедин</w:t>
            </w:r>
            <w:r>
              <w:t xml:space="preserve">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), в том числе при одновременном технологическом присоединении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Заявителей физических лиц, максимальная мощность которых не превышает 15 кВт включительно (с учетом ранее п</w:t>
            </w:r>
            <w:r>
              <w:t xml:space="preserve">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и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, а также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заявителей - физических лиц, максимальная мощность которых не превышает 15 кВт включительно (с учетом ранее присоединенн</w:t>
            </w:r>
            <w:r>
              <w:t xml:space="preserve">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за исключением случаев, указанных в </w:t>
            </w:r>
            <w:hyperlink w:anchor="P32" w:tooltip="5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пунктах 5</w:t>
              </w:r>
            </w:hyperlink>
            <w:r>
              <w:t xml:space="preserve">, </w:t>
            </w:r>
            <w:hyperlink w:anchor="P56" w:tooltip="9. В случае технологического присоединения энергопринимающих устройств члена малоимущей семьи (одиноко проживающего гражданина), среднедушевой доход которого ниже величины прожиточного минимума, установленного в Челябинской области, определенным в соответствии">
              <w:r>
                <w:rPr>
                  <w:color w:val="0000FF"/>
                </w:rPr>
                <w:t>9</w:t>
              </w:r>
            </w:hyperlink>
            <w:r>
              <w:t xml:space="preserve"> настоящего постановления, устанавливаемая в отношении всей совокупности м</w:t>
            </w:r>
            <w:r>
              <w:t xml:space="preserve">ероприятий по технологическому присоединению, при присоединении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по третьей категории надежности к объектам электросетевого хозяйства сетевой организации на уровне напряжения 0,4 </w:t>
            </w:r>
            <w:proofErr w:type="spellStart"/>
            <w:r>
              <w:t>кВ</w:t>
            </w:r>
            <w:proofErr w:type="spellEnd"/>
            <w:r>
              <w:t xml:space="preserve"> и ниже, при усл</w:t>
            </w:r>
            <w:r>
              <w:t>овии, что расстояние от границ участка заявителя до ближайшего объекта электрической сети необходимого заявителю класса напряжения, в которую подана заявка, составляет не более 300 метров в городах и поселках городского типа и не более 500 метров в сельско</w:t>
            </w:r>
            <w:r>
              <w:t>й местности, руб./кВт</w:t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28</w:t>
            </w:r>
          </w:p>
        </w:tc>
        <w:tc>
          <w:tcPr>
            <w:tcW w:w="9808" w:type="dxa"/>
            <w:gridSpan w:val="2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В случае подачи заявки заявителем - юридическим лицом или индивидуальным предпринимателем в целях технологического присоединения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, а также одновременного технологического присоединения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</w:t>
            </w:r>
            <w:r>
              <w:t xml:space="preserve">ойств максимальной мощностью до 150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присоединяемых по третьей категории надежности к объектам электросетевого хозяйства сетевой организации на уровне</w:t>
            </w:r>
            <w:r>
              <w:t xml:space="preserve"> напряжения 0,4 </w:t>
            </w:r>
            <w:proofErr w:type="spellStart"/>
            <w:r>
              <w:t>кВ</w:t>
            </w:r>
            <w:proofErr w:type="spellEnd"/>
            <w:r>
              <w:t xml:space="preserve"> и ниже, при условии, что расстояние от этих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</w:t>
            </w:r>
            <w:r>
              <w:t xml:space="preserve"> типа и не более 300 метров в сельской местности, плата за технологическое присоединение указанных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и (или)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(Р</w:t>
            </w:r>
            <w:r>
              <w:rPr>
                <w:vertAlign w:val="subscript"/>
              </w:rPr>
              <w:t>ЭПУ до 150 + мкг</w:t>
            </w:r>
            <w:r>
              <w:t>) определяется по формуле:</w:t>
            </w:r>
          </w:p>
          <w:p w:rsidR="002B2E3C" w:rsidRDefault="002B2E3C">
            <w:pPr>
              <w:pStyle w:val="ConsPlusNormal0"/>
            </w:pPr>
          </w:p>
          <w:p w:rsidR="002B2E3C" w:rsidRDefault="00123D84">
            <w:pPr>
              <w:pStyle w:val="ConsPlusNormal0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3646170" cy="30861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1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3C">
        <w:tc>
          <w:tcPr>
            <w:tcW w:w="1266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Р</w:t>
            </w:r>
            <w:r>
              <w:rPr>
                <w:vertAlign w:val="subscript"/>
              </w:rPr>
              <w:t>ЭПУ до 150 + мкг</w:t>
            </w:r>
          </w:p>
        </w:tc>
        <w:tc>
          <w:tcPr>
            <w:tcW w:w="8447" w:type="dxa"/>
            <w:vAlign w:val="center"/>
          </w:tcPr>
          <w:p w:rsidR="002B2E3C" w:rsidRDefault="00123D84">
            <w:pPr>
              <w:pStyle w:val="ConsPlusNormal0"/>
              <w:jc w:val="both"/>
            </w:pPr>
            <w:r>
              <w:t xml:space="preserve">плата за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максимальной мощностью до 150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устройств), присоединяемых по третьей категории надежности к объ</w:t>
            </w:r>
            <w:r>
              <w:t xml:space="preserve">ектам электросетевого хозяйства сетевой организации на уровне напряжения 0,4 </w:t>
            </w:r>
            <w:proofErr w:type="spellStart"/>
            <w:r>
              <w:t>кВ</w:t>
            </w:r>
            <w:proofErr w:type="spellEnd"/>
            <w:r>
              <w:t xml:space="preserve"> и ниже, при условии, что расстояние от этих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до существующих объектов электросетевого хозяйства сетевых организаций с</w:t>
            </w:r>
            <w:r>
              <w:t xml:space="preserve">оставляет не более 200 метров в городах и поселках городского типа и не более 300 метров в сельской местности, определяемая в соответствии с </w:t>
            </w:r>
            <w:hyperlink r:id="rId63" w:tooltip="Приказ ФАС России от 30.06.2022 N 490/22 (ред. от 13.11.2024) &quot;Об утверждении Методических указаний по определению размера платы за технологическое присоединение к электрическим сетям&quot; (Зарегистрировано в Минюсте России 19.08.2022 N 69710) {КонсультантПлюс}">
              <w:r>
                <w:rPr>
                  <w:color w:val="0000FF"/>
                </w:rPr>
                <w:t>пунктом 12</w:t>
              </w:r>
            </w:hyperlink>
            <w:r>
              <w:t xml:space="preserve"> Методических указаний, рублей. При технологическом присоединении только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Р</w:t>
            </w:r>
            <w:r>
              <w:rPr>
                <w:vertAlign w:val="subscript"/>
              </w:rPr>
              <w:t>ЭПУ до 150</w:t>
            </w:r>
            <w:r>
              <w:t xml:space="preserve"> приравнивается к нулю</w:t>
            </w:r>
          </w:p>
        </w:tc>
      </w:tr>
    </w:tbl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Normal0"/>
        <w:jc w:val="right"/>
        <w:outlineLvl w:val="0"/>
      </w:pPr>
      <w:r>
        <w:t>Приложение N 3</w:t>
      </w:r>
    </w:p>
    <w:p w:rsidR="002B2E3C" w:rsidRDefault="00123D84">
      <w:pPr>
        <w:pStyle w:val="ConsPlusNormal0"/>
        <w:jc w:val="right"/>
      </w:pPr>
      <w:r>
        <w:t>к постановлению</w:t>
      </w:r>
    </w:p>
    <w:p w:rsidR="002B2E3C" w:rsidRDefault="00123D84">
      <w:pPr>
        <w:pStyle w:val="ConsPlusNormal0"/>
        <w:jc w:val="right"/>
      </w:pPr>
      <w:r>
        <w:t>Министерства</w:t>
      </w:r>
    </w:p>
    <w:p w:rsidR="002B2E3C" w:rsidRDefault="00123D84">
      <w:pPr>
        <w:pStyle w:val="ConsPlusNormal0"/>
        <w:jc w:val="right"/>
      </w:pPr>
      <w:r>
        <w:t>тарифного регулирования</w:t>
      </w:r>
    </w:p>
    <w:p w:rsidR="002B2E3C" w:rsidRDefault="00123D84">
      <w:pPr>
        <w:pStyle w:val="ConsPlusNormal0"/>
        <w:jc w:val="right"/>
      </w:pPr>
      <w:r>
        <w:t>и энергетики</w:t>
      </w:r>
    </w:p>
    <w:p w:rsidR="002B2E3C" w:rsidRDefault="00123D84">
      <w:pPr>
        <w:pStyle w:val="ConsPlusNormal0"/>
        <w:jc w:val="right"/>
      </w:pPr>
      <w:r>
        <w:t>Челябинской области</w:t>
      </w:r>
    </w:p>
    <w:p w:rsidR="002B2E3C" w:rsidRDefault="00123D84">
      <w:pPr>
        <w:pStyle w:val="ConsPlusNormal0"/>
        <w:jc w:val="right"/>
      </w:pPr>
      <w:r>
        <w:t>от 28 ноября 2025 г. N 81/18</w:t>
      </w:r>
    </w:p>
    <w:p w:rsidR="002B2E3C" w:rsidRDefault="002B2E3C">
      <w:pPr>
        <w:pStyle w:val="ConsPlusNormal0"/>
        <w:jc w:val="both"/>
      </w:pPr>
    </w:p>
    <w:p w:rsidR="002B2E3C" w:rsidRDefault="00123D84">
      <w:pPr>
        <w:pStyle w:val="ConsPlusTitle0"/>
        <w:jc w:val="center"/>
      </w:pPr>
      <w:bookmarkStart w:id="13" w:name="P1186"/>
      <w:bookmarkEnd w:id="13"/>
      <w:r>
        <w:t>Территориальные сетевые организации</w:t>
      </w:r>
    </w:p>
    <w:p w:rsidR="002B2E3C" w:rsidRDefault="00123D84">
      <w:pPr>
        <w:pStyle w:val="ConsPlusTitle0"/>
        <w:jc w:val="center"/>
      </w:pPr>
      <w:r>
        <w:t>Челябинской области</w:t>
      </w:r>
    </w:p>
    <w:p w:rsidR="002B2E3C" w:rsidRDefault="002B2E3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1701"/>
        <w:gridCol w:w="1531"/>
        <w:gridCol w:w="2948"/>
        <w:gridCol w:w="2381"/>
      </w:tblGrid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Полное наименование организации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КПП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Адрес официального сайта в сети Интернет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Выделенный абонентский номер для обращений потребителей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>Филиал публичного акционерного общества "</w:t>
            </w:r>
            <w:proofErr w:type="spellStart"/>
            <w:r>
              <w:t>Россети</w:t>
            </w:r>
            <w:proofErr w:type="spellEnd"/>
            <w:r>
              <w:t xml:space="preserve"> Урал" - "Челябэнерго"</w:t>
            </w:r>
          </w:p>
          <w:p w:rsidR="002B2E3C" w:rsidRDefault="00123D84">
            <w:pPr>
              <w:pStyle w:val="ConsPlusNormal0"/>
            </w:pPr>
            <w:r>
              <w:t>(Филиал ПАО "</w:t>
            </w:r>
            <w:proofErr w:type="spellStart"/>
            <w:r>
              <w:t>Россети</w:t>
            </w:r>
            <w:proofErr w:type="spellEnd"/>
            <w:r>
              <w:t xml:space="preserve"> Урал" - "Челябэнерго")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6671163413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668501001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www.rosseti-ural.ru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8 800 2200 220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Оборонэнерго</w:t>
            </w:r>
            <w:proofErr w:type="spellEnd"/>
            <w:r>
              <w:t>" Филиал "Уральский"</w:t>
            </w:r>
          </w:p>
          <w:p w:rsidR="002B2E3C" w:rsidRDefault="00123D84">
            <w:pPr>
              <w:pStyle w:val="ConsPlusNormal0"/>
            </w:pPr>
            <w:r>
              <w:t>(АО "</w:t>
            </w:r>
            <w:proofErr w:type="spellStart"/>
            <w:r>
              <w:t>Оборонэнерго</w:t>
            </w:r>
            <w:proofErr w:type="spellEnd"/>
            <w:r>
              <w:t>" Филиал "Уральский")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7704726225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667243001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www.oboronenergo.su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8-800-222-32-20,</w:t>
            </w:r>
          </w:p>
          <w:p w:rsidR="002B2E3C" w:rsidRDefault="00123D84">
            <w:pPr>
              <w:pStyle w:val="ConsPlusNormal0"/>
              <w:jc w:val="center"/>
            </w:pPr>
            <w:r>
              <w:t>8 (343) 389-12-52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>Акционерное общество "</w:t>
            </w:r>
            <w:proofErr w:type="spellStart"/>
            <w:r>
              <w:t>Горэлектросеть</w:t>
            </w:r>
            <w:proofErr w:type="spellEnd"/>
            <w:r>
              <w:t>"</w:t>
            </w:r>
          </w:p>
          <w:p w:rsidR="002B2E3C" w:rsidRDefault="00123D84">
            <w:pPr>
              <w:pStyle w:val="ConsPlusNormal0"/>
            </w:pPr>
            <w:r>
              <w:t>(АО "</w:t>
            </w:r>
            <w:proofErr w:type="spellStart"/>
            <w:r>
              <w:t>Горэлектросеть</w:t>
            </w:r>
            <w:proofErr w:type="spellEnd"/>
            <w:r>
              <w:t>")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7456038645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745601001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www.gesmgn.ru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 (3519) 29-30-88,</w:t>
            </w:r>
          </w:p>
          <w:p w:rsidR="002B2E3C" w:rsidRDefault="00123D84">
            <w:pPr>
              <w:pStyle w:val="ConsPlusNormal0"/>
              <w:jc w:val="center"/>
            </w:pPr>
            <w:r>
              <w:t>8 (3519) 33-00-31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 xml:space="preserve">Открытое акционерное общество "Российские железные дороги" (Южно-Уральская дирекция по энергообеспечению - структурное подразделение </w:t>
            </w:r>
            <w:proofErr w:type="spellStart"/>
            <w:r>
              <w:t>Трансэнерго</w:t>
            </w:r>
            <w:proofErr w:type="spellEnd"/>
            <w:r>
              <w:t xml:space="preserve"> - филиала открытого акционерного общества "Российские железные дороги")</w:t>
            </w:r>
          </w:p>
          <w:p w:rsidR="002B2E3C" w:rsidRDefault="00123D84">
            <w:pPr>
              <w:pStyle w:val="ConsPlusNormal0"/>
            </w:pPr>
            <w:r>
              <w:t xml:space="preserve">(ОАО "РЖД" (Южно-Уральская дирекция по </w:t>
            </w:r>
            <w:r>
              <w:t xml:space="preserve">энергообеспечению - структурное подразделение </w:t>
            </w:r>
            <w:proofErr w:type="spellStart"/>
            <w:r>
              <w:t>Трансэнерго</w:t>
            </w:r>
            <w:proofErr w:type="spellEnd"/>
            <w:r>
              <w:t xml:space="preserve"> - филиала ОАО "РЖД"))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7708503727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770801001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hyperlink r:id="rId64">
              <w:r>
                <w:rPr>
                  <w:color w:val="0000FF"/>
                </w:rPr>
                <w:t>www.rzd.ru</w:t>
              </w:r>
            </w:hyperlink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 (351) 268-43-95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 xml:space="preserve">Общество с ограниченной ответственностью "ТМК </w:t>
            </w:r>
            <w:proofErr w:type="spellStart"/>
            <w:r>
              <w:t>ЭнергоРесурс</w:t>
            </w:r>
            <w:proofErr w:type="spellEnd"/>
            <w:r>
              <w:t>"</w:t>
            </w:r>
          </w:p>
          <w:p w:rsidR="002B2E3C" w:rsidRDefault="00123D84">
            <w:pPr>
              <w:pStyle w:val="ConsPlusNormal0"/>
            </w:pPr>
            <w:r>
              <w:lastRenderedPageBreak/>
              <w:t>(ООО "ТМК ЭНР")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7453299712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744901001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www.tmk-energoresurs.ru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 (351-47) 2-92-70</w:t>
            </w:r>
          </w:p>
          <w:p w:rsidR="002B2E3C" w:rsidRDefault="00123D84">
            <w:pPr>
              <w:pStyle w:val="ConsPlusNormal0"/>
              <w:jc w:val="center"/>
            </w:pPr>
            <w:r>
              <w:t>8 (351) 255-71-78</w:t>
            </w:r>
          </w:p>
          <w:p w:rsidR="002B2E3C" w:rsidRDefault="00123D84">
            <w:pPr>
              <w:pStyle w:val="ConsPlusNormal0"/>
              <w:jc w:val="center"/>
            </w:pPr>
            <w:r>
              <w:t>8 (904) 805-40-46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>Общество с ограниченной ответственностью "ЭК Маяк"</w:t>
            </w:r>
          </w:p>
          <w:p w:rsidR="002B2E3C" w:rsidRDefault="00123D84">
            <w:pPr>
              <w:pStyle w:val="ConsPlusNormal0"/>
            </w:pPr>
            <w:r>
              <w:t>(ООО "ЭКМ")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7449137109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745201001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www.ekm174.ru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8-800-222-08-37</w:t>
            </w:r>
          </w:p>
        </w:tc>
      </w:tr>
      <w:tr w:rsidR="002B2E3C">
        <w:tc>
          <w:tcPr>
            <w:tcW w:w="624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88" w:type="dxa"/>
            <w:vAlign w:val="center"/>
          </w:tcPr>
          <w:p w:rsidR="002B2E3C" w:rsidRDefault="00123D84">
            <w:pPr>
              <w:pStyle w:val="ConsPlusNormal0"/>
            </w:pPr>
            <w:r>
              <w:t>Публичное акционерное общество "Магнитогорский металлургический комбинат"</w:t>
            </w:r>
          </w:p>
          <w:p w:rsidR="002B2E3C" w:rsidRDefault="00123D84">
            <w:pPr>
              <w:pStyle w:val="ConsPlusNormal0"/>
            </w:pPr>
            <w:r>
              <w:t>(ПАО "ММК")</w:t>
            </w:r>
          </w:p>
        </w:tc>
        <w:tc>
          <w:tcPr>
            <w:tcW w:w="170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7414003633</w:t>
            </w:r>
          </w:p>
        </w:tc>
        <w:tc>
          <w:tcPr>
            <w:tcW w:w="153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745501001</w:t>
            </w:r>
          </w:p>
        </w:tc>
        <w:tc>
          <w:tcPr>
            <w:tcW w:w="2948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www.mmk.ru</w:t>
            </w:r>
          </w:p>
        </w:tc>
        <w:tc>
          <w:tcPr>
            <w:tcW w:w="2381" w:type="dxa"/>
            <w:vAlign w:val="center"/>
          </w:tcPr>
          <w:p w:rsidR="002B2E3C" w:rsidRDefault="00123D84">
            <w:pPr>
              <w:pStyle w:val="ConsPlusNormal0"/>
              <w:jc w:val="center"/>
            </w:pPr>
            <w:r>
              <w:t>8 (3519) 24-79-81</w:t>
            </w:r>
          </w:p>
          <w:p w:rsidR="002B2E3C" w:rsidRDefault="00123D84">
            <w:pPr>
              <w:pStyle w:val="ConsPlusNormal0"/>
              <w:jc w:val="center"/>
            </w:pPr>
            <w:r>
              <w:t>8 (3519) 24-08-86</w:t>
            </w:r>
          </w:p>
        </w:tc>
      </w:tr>
    </w:tbl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jc w:val="both"/>
      </w:pPr>
    </w:p>
    <w:p w:rsidR="002B2E3C" w:rsidRDefault="002B2E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2E3C">
      <w:headerReference w:type="default" r:id="rId65"/>
      <w:footerReference w:type="default" r:id="rId66"/>
      <w:headerReference w:type="first" r:id="rId67"/>
      <w:footerReference w:type="first" r:id="rId68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3D84">
      <w:r>
        <w:separator/>
      </w:r>
    </w:p>
  </w:endnote>
  <w:endnote w:type="continuationSeparator" w:id="0">
    <w:p w:rsidR="00000000" w:rsidRDefault="001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84" w:rsidRDefault="00123D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84" w:rsidRDefault="00123D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84" w:rsidRDefault="00123D8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Default="002B2E3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3D84">
      <w:r>
        <w:separator/>
      </w:r>
    </w:p>
  </w:footnote>
  <w:footnote w:type="continuationSeparator" w:id="0">
    <w:p w:rsidR="00000000" w:rsidRDefault="0012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84" w:rsidRDefault="00123D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84" w:rsidRDefault="00123D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84" w:rsidRDefault="00123D8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3C" w:rsidRPr="00123D84" w:rsidRDefault="002B2E3C" w:rsidP="00123D84">
    <w:pPr>
      <w:pStyle w:val="a3"/>
    </w:pPr>
    <w:bookmarkStart w:id="14" w:name="_GoBack"/>
    <w:bookmarkEnd w:id="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3C"/>
    <w:rsid w:val="00123D84"/>
    <w:rsid w:val="002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8BB9CE0-8119-4D0C-954F-1533512E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23D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D84"/>
  </w:style>
  <w:style w:type="paragraph" w:styleId="a5">
    <w:name w:val="footer"/>
    <w:basedOn w:val="a"/>
    <w:link w:val="a6"/>
    <w:uiPriority w:val="99"/>
    <w:unhideWhenUsed/>
    <w:rsid w:val="00123D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7083&amp;date=28.04.2026&amp;dst=28&amp;field=134" TargetMode="External"/><Relationship Id="rId21" Type="http://schemas.openxmlformats.org/officeDocument/2006/relationships/hyperlink" Target="https://login.consultant.ru/link/?req=doc&amp;base=LAW&amp;n=466512&amp;date=28.04.2026&amp;dst=100008&amp;field=134" TargetMode="External"/><Relationship Id="rId42" Type="http://schemas.openxmlformats.org/officeDocument/2006/relationships/footer" Target="footer1.xml"/><Relationship Id="rId47" Type="http://schemas.openxmlformats.org/officeDocument/2006/relationships/hyperlink" Target="https://login.consultant.ru/link/?req=doc&amp;base=LAW&amp;n=495525&amp;date=28.04.2026&amp;dst=100062&amp;field=134" TargetMode="External"/><Relationship Id="rId63" Type="http://schemas.openxmlformats.org/officeDocument/2006/relationships/hyperlink" Target="https://login.consultant.ru/link/?req=doc&amp;base=LAW&amp;n=495525&amp;date=28.04.2026&amp;dst=100050&amp;field=134" TargetMode="External"/><Relationship Id="rId68" Type="http://schemas.openxmlformats.org/officeDocument/2006/relationships/footer" Target="footer7.xml"/><Relationship Id="rId7" Type="http://schemas.openxmlformats.org/officeDocument/2006/relationships/hyperlink" Target="https://login.consultant.ru/link/?req=doc&amp;base=LAW&amp;n=526885&amp;date=28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20&amp;date=28.04.2026&amp;dst=271&amp;field=134" TargetMode="External"/><Relationship Id="rId29" Type="http://schemas.openxmlformats.org/officeDocument/2006/relationships/hyperlink" Target="https://login.consultant.ru/link/?req=doc&amp;base=LAW&amp;n=527083&amp;date=28.04.2026&amp;dst=114&amp;field=134" TargetMode="External"/><Relationship Id="rId11" Type="http://schemas.openxmlformats.org/officeDocument/2006/relationships/hyperlink" Target="https://login.consultant.ru/link/?req=doc&amp;base=LAW&amp;n=372860&amp;date=28.04.2026" TargetMode="External"/><Relationship Id="rId24" Type="http://schemas.openxmlformats.org/officeDocument/2006/relationships/hyperlink" Target="https://login.consultant.ru/link/?req=doc&amp;base=LAW&amp;n=467710&amp;date=28.04.2026" TargetMode="External"/><Relationship Id="rId32" Type="http://schemas.openxmlformats.org/officeDocument/2006/relationships/hyperlink" Target="https://login.consultant.ru/link/?req=doc&amp;base=LAW&amp;n=511225&amp;date=28.04.2026&amp;dst=19&amp;field=134" TargetMode="External"/><Relationship Id="rId37" Type="http://schemas.openxmlformats.org/officeDocument/2006/relationships/hyperlink" Target="https://login.consultant.ru/link/?req=doc&amp;base=LAW&amp;n=181977&amp;date=28.04.2026&amp;dst=4&amp;field=134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footer" Target="footer4.xml"/><Relationship Id="rId58" Type="http://schemas.openxmlformats.org/officeDocument/2006/relationships/hyperlink" Target="https://login.consultant.ru/link/?req=doc&amp;base=LAW&amp;n=495525&amp;date=28.04.2026&amp;dst=100060&amp;field=134" TargetMode="External"/><Relationship Id="rId66" Type="http://schemas.openxmlformats.org/officeDocument/2006/relationships/footer" Target="footer6.xml"/><Relationship Id="rId5" Type="http://schemas.openxmlformats.org/officeDocument/2006/relationships/endnotes" Target="endnotes.xml"/><Relationship Id="rId61" Type="http://schemas.openxmlformats.org/officeDocument/2006/relationships/image" Target="media/image4.wmf"/><Relationship Id="rId19" Type="http://schemas.openxmlformats.org/officeDocument/2006/relationships/hyperlink" Target="https://login.consultant.ru/link/?req=doc&amp;base=LAW&amp;n=466514&amp;date=28.04.2026&amp;dst=5&amp;field=134" TargetMode="External"/><Relationship Id="rId14" Type="http://schemas.openxmlformats.org/officeDocument/2006/relationships/hyperlink" Target="https://login.consultant.ru/link/?req=doc&amp;base=LAW&amp;n=527083&amp;date=28.04.2026&amp;dst=100537&amp;field=134" TargetMode="External"/><Relationship Id="rId22" Type="http://schemas.openxmlformats.org/officeDocument/2006/relationships/hyperlink" Target="https://login.consultant.ru/link/?req=doc&amp;base=LAW&amp;n=181977&amp;date=28.04.2026&amp;dst=100005&amp;field=134" TargetMode="External"/><Relationship Id="rId27" Type="http://schemas.openxmlformats.org/officeDocument/2006/relationships/hyperlink" Target="https://login.consultant.ru/link/?req=doc&amp;base=LAW&amp;n=527083&amp;date=28.04.2026&amp;dst=58&amp;field=134" TargetMode="External"/><Relationship Id="rId30" Type="http://schemas.openxmlformats.org/officeDocument/2006/relationships/hyperlink" Target="https://login.consultant.ru/link/?req=doc&amp;base=LAW&amp;n=523220&amp;date=28.04.2026&amp;dst=271&amp;field=134" TargetMode="External"/><Relationship Id="rId35" Type="http://schemas.openxmlformats.org/officeDocument/2006/relationships/hyperlink" Target="https://login.consultant.ru/link/?req=doc&amp;base=LAW&amp;n=466512&amp;date=28.04.2026&amp;dst=100008&amp;field=134" TargetMode="External"/><Relationship Id="rId43" Type="http://schemas.openxmlformats.org/officeDocument/2006/relationships/footer" Target="footer2.xml"/><Relationship Id="rId48" Type="http://schemas.openxmlformats.org/officeDocument/2006/relationships/hyperlink" Target="https://login.consultant.ru/link/?req=doc&amp;base=LAW&amp;n=495525&amp;date=28.04.2026&amp;dst=100096&amp;field=134" TargetMode="External"/><Relationship Id="rId56" Type="http://schemas.openxmlformats.org/officeDocument/2006/relationships/image" Target="media/image1.wmf"/><Relationship Id="rId64" Type="http://schemas.openxmlformats.org/officeDocument/2006/relationships/hyperlink" Target="file:///C:\Users\&#1043;&#1088;&#1077;&#1097;&#1091;&#1082;\Downloads\www.rzd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6158&amp;date=28.04.2026" TargetMode="External"/><Relationship Id="rId51" Type="http://schemas.openxmlformats.org/officeDocument/2006/relationships/hyperlink" Target="https://login.consultant.ru/link/?req=doc&amp;base=LAW&amp;n=495525&amp;date=28.04.2026&amp;dst=10009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7083&amp;date=28.04.2026&amp;dst=28&amp;field=134" TargetMode="External"/><Relationship Id="rId17" Type="http://schemas.openxmlformats.org/officeDocument/2006/relationships/hyperlink" Target="https://login.consultant.ru/link/?req=doc&amp;base=LAW&amp;n=523220&amp;date=28.04.2026&amp;dst=271&amp;field=134" TargetMode="External"/><Relationship Id="rId25" Type="http://schemas.openxmlformats.org/officeDocument/2006/relationships/hyperlink" Target="https://login.consultant.ru/link/?req=doc&amp;base=LAW&amp;n=372860&amp;date=28.04.2026" TargetMode="External"/><Relationship Id="rId33" Type="http://schemas.openxmlformats.org/officeDocument/2006/relationships/hyperlink" Target="https://login.consultant.ru/link/?req=doc&amp;base=LAW&amp;n=466514&amp;date=28.04.2026&amp;dst=5&amp;field=134" TargetMode="External"/><Relationship Id="rId38" Type="http://schemas.openxmlformats.org/officeDocument/2006/relationships/hyperlink" Target="https://login.consultant.ru/link/?req=doc&amp;base=LAW&amp;n=467710&amp;date=28.04.2026" TargetMode="External"/><Relationship Id="rId46" Type="http://schemas.openxmlformats.org/officeDocument/2006/relationships/hyperlink" Target="https://login.consultant.ru/link/?req=doc&amp;base=LAW&amp;n=495525&amp;date=28.04.2026&amp;dst=100060&amp;field=134" TargetMode="External"/><Relationship Id="rId59" Type="http://schemas.openxmlformats.org/officeDocument/2006/relationships/hyperlink" Target="https://login.consultant.ru/link/?req=doc&amp;base=LAW&amp;n=495525&amp;date=28.04.2026&amp;dst=100062&amp;field=134" TargetMode="External"/><Relationship Id="rId67" Type="http://schemas.openxmlformats.org/officeDocument/2006/relationships/header" Target="header7.xml"/><Relationship Id="rId20" Type="http://schemas.openxmlformats.org/officeDocument/2006/relationships/hyperlink" Target="https://login.consultant.ru/link/?req=doc&amp;base=LAW&amp;n=507299&amp;date=28.04.2026&amp;dst=105904&amp;field=134" TargetMode="External"/><Relationship Id="rId41" Type="http://schemas.openxmlformats.org/officeDocument/2006/relationships/header" Target="header2.xml"/><Relationship Id="rId54" Type="http://schemas.openxmlformats.org/officeDocument/2006/relationships/header" Target="header5.xml"/><Relationship Id="rId62" Type="http://schemas.openxmlformats.org/officeDocument/2006/relationships/image" Target="media/image5.wmf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70&amp;date=28.04.2026&amp;dst=1259&amp;field=134" TargetMode="External"/><Relationship Id="rId15" Type="http://schemas.openxmlformats.org/officeDocument/2006/relationships/hyperlink" Target="https://login.consultant.ru/link/?req=doc&amp;base=LAW&amp;n=527083&amp;date=28.04.2026&amp;dst=114&amp;field=134" TargetMode="External"/><Relationship Id="rId23" Type="http://schemas.openxmlformats.org/officeDocument/2006/relationships/hyperlink" Target="https://login.consultant.ru/link/?req=doc&amp;base=LAW&amp;n=181977&amp;date=28.04.2026&amp;dst=4&amp;field=134" TargetMode="External"/><Relationship Id="rId28" Type="http://schemas.openxmlformats.org/officeDocument/2006/relationships/hyperlink" Target="https://login.consultant.ru/link/?req=doc&amp;base=LAW&amp;n=527083&amp;date=28.04.2026&amp;dst=100537&amp;field=134" TargetMode="External"/><Relationship Id="rId36" Type="http://schemas.openxmlformats.org/officeDocument/2006/relationships/hyperlink" Target="https://login.consultant.ru/link/?req=doc&amp;base=LAW&amp;n=181977&amp;date=28.04.2026&amp;dst=100005&amp;field=134" TargetMode="External"/><Relationship Id="rId49" Type="http://schemas.openxmlformats.org/officeDocument/2006/relationships/hyperlink" Target="https://login.consultant.ru/link/?req=doc&amp;base=LAW&amp;n=495525&amp;date=28.04.2026&amp;dst=100096&amp;field=134" TargetMode="External"/><Relationship Id="rId57" Type="http://schemas.openxmlformats.org/officeDocument/2006/relationships/image" Target="media/image2.wmf"/><Relationship Id="rId10" Type="http://schemas.openxmlformats.org/officeDocument/2006/relationships/hyperlink" Target="https://login.consultant.ru/link/?req=doc&amp;base=RLAW169&amp;n=233155&amp;date=28.04.2026&amp;dst=100062&amp;field=134" TargetMode="External"/><Relationship Id="rId31" Type="http://schemas.openxmlformats.org/officeDocument/2006/relationships/hyperlink" Target="https://login.consultant.ru/link/?req=doc&amp;base=LAW&amp;n=523220&amp;date=28.04.2026&amp;dst=271&amp;field=134" TargetMode="External"/><Relationship Id="rId44" Type="http://schemas.openxmlformats.org/officeDocument/2006/relationships/header" Target="header3.xml"/><Relationship Id="rId52" Type="http://schemas.openxmlformats.org/officeDocument/2006/relationships/header" Target="header4.xml"/><Relationship Id="rId60" Type="http://schemas.openxmlformats.org/officeDocument/2006/relationships/image" Target="media/image3.wmf"/><Relationship Id="rId65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525&amp;date=28.04.2026" TargetMode="External"/><Relationship Id="rId13" Type="http://schemas.openxmlformats.org/officeDocument/2006/relationships/hyperlink" Target="https://login.consultant.ru/link/?req=doc&amp;base=LAW&amp;n=527083&amp;date=28.04.2026&amp;dst=58&amp;field=134" TargetMode="External"/><Relationship Id="rId18" Type="http://schemas.openxmlformats.org/officeDocument/2006/relationships/hyperlink" Target="https://login.consultant.ru/link/?req=doc&amp;base=LAW&amp;n=511225&amp;date=28.04.2026&amp;dst=19&amp;field=134" TargetMode="External"/><Relationship Id="rId39" Type="http://schemas.openxmlformats.org/officeDocument/2006/relationships/hyperlink" Target="https://login.consultant.ru/link/?req=doc&amp;base=RLAW169&amp;n=234380&amp;date=28.04.2026" TargetMode="External"/><Relationship Id="rId34" Type="http://schemas.openxmlformats.org/officeDocument/2006/relationships/hyperlink" Target="https://login.consultant.ru/link/?req=doc&amp;base=LAW&amp;n=507299&amp;date=28.04.2026&amp;dst=105904&amp;field=134" TargetMode="External"/><Relationship Id="rId50" Type="http://schemas.openxmlformats.org/officeDocument/2006/relationships/hyperlink" Target="https://login.consultant.ru/link/?req=doc&amp;base=LAW&amp;n=495525&amp;date=28.04.2026&amp;dst=100097&amp;field=134" TargetMode="External"/><Relationship Id="rId5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14697</Words>
  <Characters>83774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Министерства тарифного регулирования и энергетики Челябинской области от 28.11.2025 N 81/18
"Об установлении платы за технологическое присоединение к электрическим сетям территориальных сетевых организаций Челябинской области на 2026 год"
(в</vt:lpstr>
    </vt:vector>
  </TitlesOfParts>
  <Company>КонсультантПлюс Версия 4025.00.50</Company>
  <LinksUpToDate>false</LinksUpToDate>
  <CharactersWithSpaces>98275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тарифного регулирования и энергетики Челябинской области от 28.11.2025 N 81/18
"Об установлении платы за технологическое присоединение к электрическим сетям территориальных сетевых организаций Челябинской области на 2026 год"
(вместе со "Стандартизированными тарифными ставками для определения платы за технологическое присоединение к электрическим сетям территориальных сетевых организаций Челябинской области на 2026 год", "Формулами определения платы за технологическое присоединени</dc:title>
  <dc:creator>Грещук</dc:creator>
  <cp:lastModifiedBy>Грещук</cp:lastModifiedBy>
  <cp:revision>2</cp:revision>
  <dcterms:created xsi:type="dcterms:W3CDTF">2026-04-28T10:57:00Z</dcterms:created>
  <dcterms:modified xsi:type="dcterms:W3CDTF">2026-04-28T10:57:00Z</dcterms:modified>
</cp:coreProperties>
</file>